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0066B" w:rsidRDefault="0010066B">
      <w:pPr>
        <w:rPr>
          <w:rFonts w:ascii="Arial" w:eastAsia="Arial" w:hAnsi="Arial" w:cs="Arial"/>
          <w:sz w:val="22"/>
          <w:szCs w:val="22"/>
        </w:rPr>
      </w:pPr>
      <w:bookmarkStart w:id="0" w:name="_GoBack"/>
      <w:bookmarkEnd w:id="0"/>
    </w:p>
    <w:p w:rsidR="0010066B" w:rsidRDefault="00F432AA">
      <w:pPr>
        <w:pBdr>
          <w:top w:val="nil"/>
          <w:left w:val="nil"/>
          <w:bottom w:val="nil"/>
          <w:right w:val="nil"/>
          <w:between w:val="nil"/>
        </w:pBdr>
        <w:jc w:val="center"/>
        <w:rPr>
          <w:rFonts w:ascii="Arial" w:eastAsia="Arial" w:hAnsi="Arial" w:cs="Arial"/>
          <w:b/>
          <w:color w:val="000000"/>
          <w:sz w:val="22"/>
          <w:szCs w:val="22"/>
        </w:rPr>
      </w:pPr>
      <w:r>
        <w:rPr>
          <w:rFonts w:ascii="Arial" w:eastAsia="Arial" w:hAnsi="Arial" w:cs="Arial"/>
          <w:b/>
          <w:color w:val="000000"/>
          <w:sz w:val="22"/>
          <w:szCs w:val="22"/>
        </w:rPr>
        <w:t>PONENCIA</w:t>
      </w:r>
    </w:p>
    <w:p w:rsidR="0010066B" w:rsidRDefault="0010066B">
      <w:pPr>
        <w:pBdr>
          <w:top w:val="nil"/>
          <w:left w:val="nil"/>
          <w:bottom w:val="nil"/>
          <w:right w:val="nil"/>
          <w:between w:val="nil"/>
        </w:pBdr>
        <w:jc w:val="center"/>
        <w:rPr>
          <w:rFonts w:ascii="Arial" w:eastAsia="Arial" w:hAnsi="Arial" w:cs="Arial"/>
          <w:b/>
          <w:color w:val="000000"/>
          <w:sz w:val="22"/>
          <w:szCs w:val="22"/>
        </w:rPr>
      </w:pPr>
    </w:p>
    <w:p w:rsidR="0010066B" w:rsidRDefault="00F432AA">
      <w:pPr>
        <w:pBdr>
          <w:top w:val="nil"/>
          <w:left w:val="nil"/>
          <w:bottom w:val="nil"/>
          <w:right w:val="nil"/>
          <w:between w:val="nil"/>
        </w:pBdr>
        <w:ind w:hanging="2"/>
        <w:jc w:val="center"/>
        <w:rPr>
          <w:rFonts w:ascii="Arial" w:eastAsia="Arial" w:hAnsi="Arial" w:cs="Arial"/>
          <w:b/>
          <w:color w:val="000000"/>
          <w:sz w:val="22"/>
          <w:szCs w:val="22"/>
        </w:rPr>
      </w:pPr>
      <w:bookmarkStart w:id="1" w:name="_heading=h.6vajfhri0po" w:colFirst="0" w:colLast="0"/>
      <w:bookmarkEnd w:id="1"/>
      <w:r>
        <w:rPr>
          <w:rFonts w:ascii="Arial" w:eastAsia="Arial" w:hAnsi="Arial" w:cs="Arial"/>
          <w:b/>
          <w:color w:val="000000"/>
          <w:sz w:val="22"/>
          <w:szCs w:val="22"/>
        </w:rPr>
        <w:t>PROYECTO DE ACUERDO 092 DE 2025</w:t>
      </w:r>
    </w:p>
    <w:p w:rsidR="0010066B" w:rsidRDefault="00F432AA">
      <w:pPr>
        <w:pBdr>
          <w:top w:val="nil"/>
          <w:left w:val="nil"/>
          <w:bottom w:val="nil"/>
          <w:right w:val="nil"/>
          <w:between w:val="nil"/>
        </w:pBdr>
        <w:ind w:hanging="2"/>
        <w:jc w:val="center"/>
        <w:rPr>
          <w:rFonts w:ascii="Arial" w:eastAsia="Arial" w:hAnsi="Arial" w:cs="Arial"/>
          <w:b/>
          <w:color w:val="000000"/>
          <w:sz w:val="22"/>
          <w:szCs w:val="22"/>
        </w:rPr>
      </w:pPr>
      <w:bookmarkStart w:id="2" w:name="_heading=h.97lqwmptxn22" w:colFirst="0" w:colLast="0"/>
      <w:bookmarkEnd w:id="2"/>
      <w:r>
        <w:rPr>
          <w:rFonts w:ascii="Arial" w:eastAsia="Arial" w:hAnsi="Arial" w:cs="Arial"/>
          <w:b/>
          <w:color w:val="000000"/>
          <w:sz w:val="22"/>
          <w:szCs w:val="22"/>
        </w:rPr>
        <w:t>“Por medio del cual se institucionaliza la “Expo Restrepo” como un evento insignia del sector cuero, calzado, marroquinería y afines en el Distrito Capital, y se dictan otras disposiciones.”</w:t>
      </w:r>
    </w:p>
    <w:p w:rsidR="0010066B" w:rsidRDefault="00F432AA">
      <w:pPr>
        <w:numPr>
          <w:ilvl w:val="0"/>
          <w:numId w:val="3"/>
        </w:numPr>
        <w:pBdr>
          <w:top w:val="nil"/>
          <w:left w:val="nil"/>
          <w:bottom w:val="nil"/>
          <w:right w:val="nil"/>
          <w:between w:val="nil"/>
        </w:pBdr>
        <w:tabs>
          <w:tab w:val="left" w:pos="284"/>
        </w:tabs>
        <w:spacing w:after="160" w:line="276" w:lineRule="auto"/>
        <w:jc w:val="both"/>
        <w:rPr>
          <w:rFonts w:ascii="Arial" w:eastAsia="Arial" w:hAnsi="Arial" w:cs="Arial"/>
          <w:sz w:val="22"/>
          <w:szCs w:val="22"/>
        </w:rPr>
      </w:pPr>
      <w:r>
        <w:rPr>
          <w:rFonts w:ascii="Arial" w:eastAsia="Arial" w:hAnsi="Arial" w:cs="Arial"/>
          <w:b/>
          <w:sz w:val="22"/>
          <w:szCs w:val="22"/>
        </w:rPr>
        <w:t>OBJETO</w:t>
      </w:r>
    </w:p>
    <w:p w:rsidR="0010066B" w:rsidRDefault="00F432AA">
      <w:pPr>
        <w:tabs>
          <w:tab w:val="left" w:pos="284"/>
        </w:tabs>
        <w:spacing w:line="276" w:lineRule="auto"/>
        <w:jc w:val="both"/>
        <w:rPr>
          <w:rFonts w:ascii="Arial" w:eastAsia="Arial" w:hAnsi="Arial" w:cs="Arial"/>
          <w:sz w:val="22"/>
          <w:szCs w:val="22"/>
        </w:rPr>
      </w:pPr>
      <w:r>
        <w:rPr>
          <w:rFonts w:ascii="Arial" w:eastAsia="Arial" w:hAnsi="Arial" w:cs="Arial"/>
          <w:sz w:val="22"/>
          <w:szCs w:val="22"/>
          <w:highlight w:val="white"/>
        </w:rPr>
        <w:t xml:space="preserve">El presente Acuerdo tiene por objeto institucionalizar la “Expo Restrepo” como un evento anual de interés Distrital, orientado a la promoción y fortalecimiento del sector cuero, calzado, marroquinería y afines, representativo del barrio Restrepo ubicado en la localidad de Antonio Nariño. Este evento se realizará anualmente en el Parque de la 93 durante el mes de noviembre, consolidándose como un espacio para la </w:t>
      </w:r>
      <w:proofErr w:type="spellStart"/>
      <w:r>
        <w:rPr>
          <w:rFonts w:ascii="Arial" w:eastAsia="Arial" w:hAnsi="Arial" w:cs="Arial"/>
          <w:sz w:val="22"/>
          <w:szCs w:val="22"/>
          <w:highlight w:val="white"/>
        </w:rPr>
        <w:t>visibilización</w:t>
      </w:r>
      <w:proofErr w:type="spellEnd"/>
      <w:r>
        <w:rPr>
          <w:rFonts w:ascii="Arial" w:eastAsia="Arial" w:hAnsi="Arial" w:cs="Arial"/>
          <w:sz w:val="22"/>
          <w:szCs w:val="22"/>
          <w:highlight w:val="white"/>
        </w:rPr>
        <w:t>, comercialización e impulso del desarrollo económico y cultural de este sector tradicional.</w:t>
      </w:r>
    </w:p>
    <w:p w:rsidR="0010066B" w:rsidRDefault="0010066B">
      <w:pPr>
        <w:tabs>
          <w:tab w:val="left" w:pos="284"/>
        </w:tabs>
        <w:spacing w:line="276" w:lineRule="auto"/>
        <w:jc w:val="both"/>
        <w:rPr>
          <w:rFonts w:ascii="Arial" w:eastAsia="Arial" w:hAnsi="Arial" w:cs="Arial"/>
          <w:sz w:val="22"/>
          <w:szCs w:val="22"/>
        </w:rPr>
      </w:pPr>
    </w:p>
    <w:p w:rsidR="0010066B" w:rsidRDefault="00F432AA">
      <w:pPr>
        <w:numPr>
          <w:ilvl w:val="0"/>
          <w:numId w:val="3"/>
        </w:numPr>
        <w:pBdr>
          <w:top w:val="nil"/>
          <w:left w:val="nil"/>
          <w:bottom w:val="nil"/>
          <w:right w:val="nil"/>
          <w:between w:val="nil"/>
        </w:pBdr>
        <w:tabs>
          <w:tab w:val="left" w:pos="284"/>
        </w:tabs>
        <w:spacing w:after="120" w:line="276" w:lineRule="auto"/>
        <w:rPr>
          <w:rFonts w:ascii="Arial" w:eastAsia="Arial" w:hAnsi="Arial" w:cs="Arial"/>
          <w:sz w:val="22"/>
          <w:szCs w:val="22"/>
        </w:rPr>
      </w:pPr>
      <w:r>
        <w:rPr>
          <w:rFonts w:ascii="Arial" w:eastAsia="Arial" w:hAnsi="Arial" w:cs="Arial"/>
          <w:b/>
          <w:sz w:val="22"/>
          <w:szCs w:val="22"/>
        </w:rPr>
        <w:t>JUSTIFICACIÓN</w:t>
      </w:r>
    </w:p>
    <w:p w:rsidR="0010066B" w:rsidRDefault="00F432AA">
      <w:pPr>
        <w:pBdr>
          <w:top w:val="nil"/>
          <w:left w:val="nil"/>
          <w:bottom w:val="nil"/>
          <w:right w:val="nil"/>
          <w:between w:val="nil"/>
        </w:pBdr>
        <w:tabs>
          <w:tab w:val="left" w:pos="284"/>
        </w:tabs>
        <w:spacing w:after="120" w:line="276" w:lineRule="auto"/>
        <w:ind w:left="360"/>
        <w:rPr>
          <w:rFonts w:ascii="Arial" w:eastAsia="Arial" w:hAnsi="Arial" w:cs="Arial"/>
          <w:b/>
          <w:sz w:val="22"/>
          <w:szCs w:val="22"/>
        </w:rPr>
      </w:pPr>
      <w:r>
        <w:rPr>
          <w:rFonts w:ascii="Arial" w:eastAsia="Arial" w:hAnsi="Arial" w:cs="Arial"/>
          <w:b/>
          <w:sz w:val="22"/>
          <w:szCs w:val="22"/>
        </w:rPr>
        <w:t>2.1 Contexto del sector del cuero, calzado y marroquinería.</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El sector del cuero, calzado y marroquinería engloba la actividad industrial relacionada con el tratamiento y transformación del cuero, así como la manufactura de una amplia variedad de productos elaborados a partir de este insumo, incluyendo la producción de calzado en cuero y otros materiales. Este sector abarca un conjunto diverso de actividades que van desde la obtención y procesamiento del cuero, pasando por el diseño y fabricación de productos de marroquinería y calzado, hasta su comercialización y distribución en los diferentes mercados.</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En términos económicos, el comportamiento del Producto Interno Bruto (PIB) del sector refleja su alta volatilidad, característica propia de una industria que depende en gran medida de la fluctuación de la demanda por los productos que ofrece. Esta demanda está estrechamente vinculada a factores como el nivel de ingresos, por no ser un bien básico, así como las tendencias de moda y los gustos cambiantes de los consumidores. Adicionalmente, el sector se ve afectado por factores externos, como la competencia de productos importados de bajo costo y la presencia de productos de contrabando, que impactan tanto en los precios como en la competitividad de la producción nacional.</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La naturaleza de esta volatilidad exige una constante adaptación a las dinámicas del mercado, lo que representa tanto un reto como una oportunidad para las empresas del sector. La capacidad de innovar en diseño, mejorar los procesos productivos y diversificar los mercados de exportación son factores clave para mitigar los efectos de estas fluctuaciones y fomentar el crecimiento sostenible de la industria.</w:t>
      </w: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b/>
          <w:sz w:val="22"/>
          <w:szCs w:val="22"/>
        </w:rPr>
        <w:lastRenderedPageBreak/>
        <w:tab/>
        <w:t>2.2. Valor agregado de la industria manufacturera del cuero.</w:t>
      </w: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sz w:val="22"/>
          <w:szCs w:val="22"/>
        </w:rPr>
        <w:t>Según datos del DANE</w:t>
      </w:r>
      <w:r>
        <w:rPr>
          <w:rFonts w:ascii="Arial" w:eastAsia="Arial" w:hAnsi="Arial" w:cs="Arial"/>
          <w:sz w:val="22"/>
          <w:szCs w:val="22"/>
          <w:vertAlign w:val="superscript"/>
        </w:rPr>
        <w:footnoteReference w:id="1"/>
      </w:r>
      <w:r>
        <w:rPr>
          <w:rFonts w:ascii="Arial" w:eastAsia="Arial" w:hAnsi="Arial" w:cs="Arial"/>
          <w:sz w:val="22"/>
          <w:szCs w:val="22"/>
        </w:rPr>
        <w:t xml:space="preserve">, en el tercer trimestre de 2024, el valor agregado de las industrias manufactureras registró una disminución del 1,3% en su serie original, en comparación con el mismo periodo de 2023. Esta tendencia se explica por los siguientes comportamientos (ver tabla 4): la fabricación de productos textiles, la confección de prendas de vestir, el curtido y </w:t>
      </w:r>
      <w:proofErr w:type="spellStart"/>
      <w:r>
        <w:rPr>
          <w:rFonts w:ascii="Arial" w:eastAsia="Arial" w:hAnsi="Arial" w:cs="Arial"/>
          <w:sz w:val="22"/>
          <w:szCs w:val="22"/>
        </w:rPr>
        <w:t>recurtido</w:t>
      </w:r>
      <w:proofErr w:type="spellEnd"/>
      <w:r>
        <w:rPr>
          <w:rFonts w:ascii="Arial" w:eastAsia="Arial" w:hAnsi="Arial" w:cs="Arial"/>
          <w:sz w:val="22"/>
          <w:szCs w:val="22"/>
        </w:rPr>
        <w:t xml:space="preserve"> de cueros, la fabricación de calzado, la producción de artículos de viaje, maletas, bolsos de mano y productos similares, así como la fabricación de artículos de talabartería y guarnicionería, y el adobo y teñido de pieles, que en conjunto disminuyeron un 1,5%.</w:t>
      </w:r>
    </w:p>
    <w:p w:rsidR="0010066B" w:rsidRDefault="00F432AA">
      <w:pPr>
        <w:tabs>
          <w:tab w:val="left" w:pos="284"/>
        </w:tabs>
        <w:spacing w:before="240" w:after="240" w:line="276" w:lineRule="auto"/>
        <w:jc w:val="center"/>
        <w:rPr>
          <w:rFonts w:ascii="Arial" w:eastAsia="Arial" w:hAnsi="Arial" w:cs="Arial"/>
          <w:b/>
          <w:color w:val="333333"/>
          <w:sz w:val="22"/>
          <w:szCs w:val="22"/>
        </w:rPr>
      </w:pPr>
      <w:r>
        <w:rPr>
          <w:rFonts w:ascii="Arial" w:eastAsia="Arial" w:hAnsi="Arial" w:cs="Arial"/>
          <w:b/>
          <w:noProof/>
          <w:color w:val="333333"/>
          <w:sz w:val="22"/>
          <w:szCs w:val="22"/>
          <w:lang w:val="es-CO" w:eastAsia="es-CO"/>
        </w:rPr>
        <w:drawing>
          <wp:inline distT="114300" distB="114300" distL="114300" distR="114300">
            <wp:extent cx="4061460" cy="3838914"/>
            <wp:effectExtent l="0" t="0" r="0" b="0"/>
            <wp:docPr id="2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4061460" cy="3838914"/>
                    </a:xfrm>
                    <a:prstGeom prst="rect">
                      <a:avLst/>
                    </a:prstGeom>
                    <a:ln/>
                  </pic:spPr>
                </pic:pic>
              </a:graphicData>
            </a:graphic>
          </wp:inline>
        </w:drawing>
      </w:r>
    </w:p>
    <w:p w:rsidR="0010066B" w:rsidRDefault="0010066B">
      <w:pPr>
        <w:tabs>
          <w:tab w:val="left" w:pos="284"/>
        </w:tabs>
        <w:spacing w:before="240" w:after="240" w:line="276" w:lineRule="auto"/>
        <w:jc w:val="both"/>
        <w:rPr>
          <w:rFonts w:ascii="Arial" w:eastAsia="Arial" w:hAnsi="Arial" w:cs="Arial"/>
          <w:b/>
          <w:sz w:val="22"/>
          <w:szCs w:val="22"/>
        </w:rPr>
      </w:pP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Asimismo, según el DANE en su Encuesta Mensual de Comercio (EMC)</w:t>
      </w:r>
      <w:r>
        <w:rPr>
          <w:rFonts w:ascii="Arial" w:eastAsia="Arial" w:hAnsi="Arial" w:cs="Arial"/>
          <w:sz w:val="22"/>
          <w:szCs w:val="22"/>
          <w:vertAlign w:val="superscript"/>
        </w:rPr>
        <w:footnoteReference w:id="2"/>
      </w:r>
      <w:r>
        <w:rPr>
          <w:rFonts w:ascii="Arial" w:eastAsia="Arial" w:hAnsi="Arial" w:cs="Arial"/>
          <w:sz w:val="22"/>
          <w:szCs w:val="22"/>
        </w:rPr>
        <w:t xml:space="preserve">, para el periodo de enero a septiembre de 2024 en comparación con el mismo periodo de 2023, las mayores contribuciones negativas a las ventas se presentó́ en las empresas dedicadas a la venta de prendas de vestir y sus accesorios; calzado y artículos sucedáneos al cuero en establecimientos </w:t>
      </w:r>
      <w:r>
        <w:rPr>
          <w:rFonts w:ascii="Arial" w:eastAsia="Arial" w:hAnsi="Arial" w:cs="Arial"/>
          <w:sz w:val="22"/>
          <w:szCs w:val="22"/>
        </w:rPr>
        <w:lastRenderedPageBreak/>
        <w:t>especializados con una variación negativa de 11,4%, puntos porcentuales, tal y como se muestra en la siguiente gráfica:</w:t>
      </w:r>
    </w:p>
    <w:p w:rsidR="0010066B" w:rsidRDefault="00F432AA">
      <w:pPr>
        <w:tabs>
          <w:tab w:val="left" w:pos="284"/>
        </w:tabs>
        <w:spacing w:before="240" w:after="240" w:line="276" w:lineRule="auto"/>
        <w:jc w:val="center"/>
        <w:rPr>
          <w:rFonts w:ascii="Arial" w:eastAsia="Arial" w:hAnsi="Arial" w:cs="Arial"/>
          <w:sz w:val="22"/>
          <w:szCs w:val="22"/>
        </w:rPr>
      </w:pPr>
      <w:r>
        <w:rPr>
          <w:rFonts w:ascii="Arial" w:eastAsia="Arial" w:hAnsi="Arial" w:cs="Arial"/>
          <w:noProof/>
          <w:sz w:val="22"/>
          <w:szCs w:val="22"/>
          <w:lang w:val="es-CO" w:eastAsia="es-CO"/>
        </w:rPr>
        <w:drawing>
          <wp:inline distT="114300" distB="114300" distL="114300" distR="114300">
            <wp:extent cx="4657725" cy="4490803"/>
            <wp:effectExtent l="0" t="0" r="0" b="0"/>
            <wp:docPr id="22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t="16256"/>
                    <a:stretch>
                      <a:fillRect/>
                    </a:stretch>
                  </pic:blipFill>
                  <pic:spPr>
                    <a:xfrm>
                      <a:off x="0" y="0"/>
                      <a:ext cx="4657725" cy="4490803"/>
                    </a:xfrm>
                    <a:prstGeom prst="rect">
                      <a:avLst/>
                    </a:prstGeom>
                    <a:ln/>
                  </pic:spPr>
                </pic:pic>
              </a:graphicData>
            </a:graphic>
          </wp:inline>
        </w:drawing>
      </w: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b/>
          <w:sz w:val="22"/>
          <w:szCs w:val="22"/>
        </w:rPr>
        <w:t>3.3. Panorama y Desafíos del Sector Cuero, Calzado y Marroquinería en Colombia: Impacto Económico y Competitividad</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 xml:space="preserve">El sector del cuero, calzado y marroquinería en Colombia constituye un motor clave para la economía nacional, con un impacto significativo en la generación de empleo, el comercio interno y la competitividad internacional. En la actualidad, más de </w:t>
      </w:r>
      <w:r>
        <w:rPr>
          <w:rFonts w:ascii="Arial" w:eastAsia="Arial" w:hAnsi="Arial" w:cs="Arial"/>
          <w:b/>
          <w:sz w:val="22"/>
          <w:szCs w:val="22"/>
        </w:rPr>
        <w:t>8.400 empresas</w:t>
      </w:r>
      <w:r>
        <w:rPr>
          <w:rFonts w:ascii="Arial" w:eastAsia="Arial" w:hAnsi="Arial" w:cs="Arial"/>
          <w:sz w:val="22"/>
          <w:szCs w:val="22"/>
        </w:rPr>
        <w:t xml:space="preserve"> formales integran esta industria, con una producción anual de </w:t>
      </w:r>
      <w:r>
        <w:rPr>
          <w:rFonts w:ascii="Arial" w:eastAsia="Arial" w:hAnsi="Arial" w:cs="Arial"/>
          <w:b/>
          <w:sz w:val="22"/>
          <w:szCs w:val="22"/>
        </w:rPr>
        <w:t>49,4 millones de pares de calzado</w:t>
      </w:r>
      <w:r>
        <w:rPr>
          <w:rFonts w:ascii="Arial" w:eastAsia="Arial" w:hAnsi="Arial" w:cs="Arial"/>
          <w:sz w:val="22"/>
          <w:szCs w:val="22"/>
        </w:rPr>
        <w:t xml:space="preserve">. Además, genera alrededor de </w:t>
      </w:r>
      <w:r>
        <w:rPr>
          <w:rFonts w:ascii="Arial" w:eastAsia="Arial" w:hAnsi="Arial" w:cs="Arial"/>
          <w:b/>
          <w:sz w:val="22"/>
          <w:szCs w:val="22"/>
        </w:rPr>
        <w:t>130.000 empleos directos</w:t>
      </w:r>
      <w:r>
        <w:rPr>
          <w:rFonts w:ascii="Arial" w:eastAsia="Arial" w:hAnsi="Arial" w:cs="Arial"/>
          <w:sz w:val="22"/>
          <w:szCs w:val="22"/>
        </w:rPr>
        <w:t xml:space="preserve">, aunque esta cifra ha disminuido desde 2017, cuando se reportaban </w:t>
      </w:r>
      <w:r>
        <w:rPr>
          <w:rFonts w:ascii="Arial" w:eastAsia="Arial" w:hAnsi="Arial" w:cs="Arial"/>
          <w:b/>
          <w:sz w:val="22"/>
          <w:szCs w:val="22"/>
        </w:rPr>
        <w:t>170.000 puestos de trabajo</w:t>
      </w:r>
      <w:r>
        <w:rPr>
          <w:rFonts w:ascii="Arial" w:eastAsia="Arial" w:hAnsi="Arial" w:cs="Arial"/>
          <w:sz w:val="22"/>
          <w:szCs w:val="22"/>
        </w:rPr>
        <w:t>.</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 xml:space="preserve">En términos de consumo, en 2023, los colombianos compraron más de </w:t>
      </w:r>
      <w:r>
        <w:rPr>
          <w:rFonts w:ascii="Arial" w:eastAsia="Arial" w:hAnsi="Arial" w:cs="Arial"/>
          <w:b/>
          <w:sz w:val="22"/>
          <w:szCs w:val="22"/>
        </w:rPr>
        <w:t>120 millones de pares de zapatos</w:t>
      </w:r>
      <w:r>
        <w:rPr>
          <w:rFonts w:ascii="Arial" w:eastAsia="Arial" w:hAnsi="Arial" w:cs="Arial"/>
          <w:sz w:val="22"/>
          <w:szCs w:val="22"/>
        </w:rPr>
        <w:t xml:space="preserve">, lo que equivale a un promedio de dos pares por persona. Durante el primer semestre de 2024, el gasto en calzado ascendió a </w:t>
      </w:r>
      <w:r>
        <w:rPr>
          <w:rFonts w:ascii="Arial" w:eastAsia="Arial" w:hAnsi="Arial" w:cs="Arial"/>
          <w:b/>
          <w:sz w:val="22"/>
          <w:szCs w:val="22"/>
        </w:rPr>
        <w:t>$1,7 billones</w:t>
      </w:r>
      <w:r>
        <w:rPr>
          <w:rFonts w:ascii="Arial" w:eastAsia="Arial" w:hAnsi="Arial" w:cs="Arial"/>
          <w:sz w:val="22"/>
          <w:szCs w:val="22"/>
        </w:rPr>
        <w:t xml:space="preserve">, mientras que el de marroquinería alcanzó los </w:t>
      </w:r>
      <w:r>
        <w:rPr>
          <w:rFonts w:ascii="Arial" w:eastAsia="Arial" w:hAnsi="Arial" w:cs="Arial"/>
          <w:b/>
          <w:sz w:val="22"/>
          <w:szCs w:val="22"/>
        </w:rPr>
        <w:t>$186.508 millones</w:t>
      </w:r>
      <w:r>
        <w:rPr>
          <w:rFonts w:ascii="Arial" w:eastAsia="Arial" w:hAnsi="Arial" w:cs="Arial"/>
          <w:sz w:val="22"/>
          <w:szCs w:val="22"/>
        </w:rPr>
        <w:t>. Estos datos reflejan la importancia del sector en la dinámica económica de los hogares colombianos.</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 xml:space="preserve">A pesar de estas cifras positivas, el sector enfrenta importantes retos estructurales. Entre enero y mayo de 2024, la producción de calzado disminuyó un </w:t>
      </w:r>
      <w:r>
        <w:rPr>
          <w:rFonts w:ascii="Arial" w:eastAsia="Arial" w:hAnsi="Arial" w:cs="Arial"/>
          <w:b/>
          <w:sz w:val="22"/>
          <w:szCs w:val="22"/>
        </w:rPr>
        <w:t>4,2%</w:t>
      </w:r>
      <w:r>
        <w:rPr>
          <w:rFonts w:ascii="Arial" w:eastAsia="Arial" w:hAnsi="Arial" w:cs="Arial"/>
          <w:sz w:val="22"/>
          <w:szCs w:val="22"/>
        </w:rPr>
        <w:t xml:space="preserve">, afectada por la caída del consumo de los hogares y el ingreso de calzado de contrabando, el cual abarca el </w:t>
      </w:r>
      <w:r>
        <w:rPr>
          <w:rFonts w:ascii="Arial" w:eastAsia="Arial" w:hAnsi="Arial" w:cs="Arial"/>
          <w:b/>
          <w:sz w:val="22"/>
          <w:szCs w:val="22"/>
        </w:rPr>
        <w:t>25% del mercado</w:t>
      </w:r>
      <w:r>
        <w:rPr>
          <w:rFonts w:ascii="Arial" w:eastAsia="Arial" w:hAnsi="Arial" w:cs="Arial"/>
          <w:sz w:val="22"/>
          <w:szCs w:val="22"/>
        </w:rPr>
        <w:t>. Esta competencia desleal, proveniente en su mayoría de China, genera un entorno de alta informalidad y precios reducidos que afectan la sostenibilidad de los productores locales.</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 xml:space="preserve">La importancia del sector se extiende más allá de las cifras; contribuye al desarrollo de regiones como Bogotá, Cundinamarca, Santander y Antioquia, que lideran la producción en el país. Sin embargo, estas regiones han registrado caídas significativas en sus indicadores: Bogotá, por ejemplo, disminuyó su producción en un </w:t>
      </w:r>
      <w:r>
        <w:rPr>
          <w:rFonts w:ascii="Arial" w:eastAsia="Arial" w:hAnsi="Arial" w:cs="Arial"/>
          <w:b/>
          <w:sz w:val="22"/>
          <w:szCs w:val="22"/>
        </w:rPr>
        <w:t>11,2%</w:t>
      </w:r>
      <w:r>
        <w:rPr>
          <w:rFonts w:ascii="Arial" w:eastAsia="Arial" w:hAnsi="Arial" w:cs="Arial"/>
          <w:sz w:val="22"/>
          <w:szCs w:val="22"/>
        </w:rPr>
        <w:t>.</w:t>
      </w:r>
      <w:r>
        <w:rPr>
          <w:rFonts w:ascii="Arial" w:eastAsia="Arial" w:hAnsi="Arial" w:cs="Arial"/>
          <w:sz w:val="22"/>
          <w:szCs w:val="22"/>
          <w:vertAlign w:val="superscript"/>
        </w:rPr>
        <w:footnoteReference w:id="3"/>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 xml:space="preserve">A nivel internacional, el sector ha mostrado resiliencia, con un aumento del </w:t>
      </w:r>
      <w:r>
        <w:rPr>
          <w:rFonts w:ascii="Arial" w:eastAsia="Arial" w:hAnsi="Arial" w:cs="Arial"/>
          <w:b/>
          <w:sz w:val="22"/>
          <w:szCs w:val="22"/>
        </w:rPr>
        <w:t>11%</w:t>
      </w:r>
      <w:r>
        <w:rPr>
          <w:rFonts w:ascii="Arial" w:eastAsia="Arial" w:hAnsi="Arial" w:cs="Arial"/>
          <w:sz w:val="22"/>
          <w:szCs w:val="22"/>
        </w:rPr>
        <w:t xml:space="preserve"> en las exportaciones de calzado durante 2024. Este desempeño refleja los esfuerzos por fortalecer la competitividad global y aprovechar el potencial de la industria, consolidándola como un eje estratégico para el desarrollo económico y social de Colombia.</w:t>
      </w:r>
      <w:r>
        <w:rPr>
          <w:rFonts w:ascii="Arial" w:eastAsia="Arial" w:hAnsi="Arial" w:cs="Arial"/>
          <w:sz w:val="22"/>
          <w:szCs w:val="22"/>
          <w:vertAlign w:val="superscript"/>
        </w:rPr>
        <w:footnoteReference w:id="4"/>
      </w:r>
    </w:p>
    <w:p w:rsidR="0010066B" w:rsidRDefault="00F432AA">
      <w:pPr>
        <w:tabs>
          <w:tab w:val="left" w:pos="284"/>
        </w:tabs>
        <w:spacing w:before="240" w:after="240" w:line="276" w:lineRule="auto"/>
        <w:jc w:val="center"/>
        <w:rPr>
          <w:rFonts w:ascii="Arial" w:eastAsia="Arial" w:hAnsi="Arial" w:cs="Arial"/>
          <w:sz w:val="22"/>
          <w:szCs w:val="22"/>
        </w:rPr>
      </w:pPr>
      <w:r>
        <w:rPr>
          <w:rFonts w:ascii="Arial" w:eastAsia="Arial" w:hAnsi="Arial" w:cs="Arial"/>
          <w:noProof/>
          <w:sz w:val="22"/>
          <w:szCs w:val="22"/>
          <w:lang w:val="es-CO" w:eastAsia="es-CO"/>
        </w:rPr>
        <w:drawing>
          <wp:inline distT="114300" distB="114300" distL="114300" distR="114300">
            <wp:extent cx="3788276" cy="4983387"/>
            <wp:effectExtent l="0" t="0" r="0" b="0"/>
            <wp:docPr id="22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b="20859"/>
                    <a:stretch>
                      <a:fillRect/>
                    </a:stretch>
                  </pic:blipFill>
                  <pic:spPr>
                    <a:xfrm>
                      <a:off x="0" y="0"/>
                      <a:ext cx="3788276" cy="4983387"/>
                    </a:xfrm>
                    <a:prstGeom prst="rect">
                      <a:avLst/>
                    </a:prstGeom>
                    <a:ln/>
                  </pic:spPr>
                </pic:pic>
              </a:graphicData>
            </a:graphic>
          </wp:inline>
        </w:drawing>
      </w:r>
    </w:p>
    <w:p w:rsidR="0010066B" w:rsidRDefault="00F432AA">
      <w:pPr>
        <w:tabs>
          <w:tab w:val="left" w:pos="284"/>
        </w:tabs>
        <w:spacing w:before="240" w:after="240" w:line="276" w:lineRule="auto"/>
        <w:jc w:val="center"/>
        <w:rPr>
          <w:rFonts w:ascii="Arial" w:eastAsia="Arial" w:hAnsi="Arial" w:cs="Arial"/>
          <w:sz w:val="20"/>
          <w:szCs w:val="20"/>
        </w:rPr>
      </w:pPr>
      <w:r>
        <w:rPr>
          <w:rFonts w:ascii="Arial" w:eastAsia="Arial" w:hAnsi="Arial" w:cs="Arial"/>
          <w:b/>
          <w:sz w:val="20"/>
          <w:szCs w:val="20"/>
        </w:rPr>
        <w:t>Fuente</w:t>
      </w:r>
      <w:r>
        <w:rPr>
          <w:rFonts w:ascii="Arial" w:eastAsia="Arial" w:hAnsi="Arial" w:cs="Arial"/>
          <w:sz w:val="20"/>
          <w:szCs w:val="20"/>
        </w:rPr>
        <w:t>: Cámara de Comercio de Bogotá.</w:t>
      </w: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b/>
          <w:sz w:val="22"/>
          <w:szCs w:val="22"/>
        </w:rPr>
        <w:t>3.4. Relevancia del Clúster de Cuero, Calzado y Marroquinería en Bogotá y Cundinamarca.</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En mayo de 2022, la Cámara de Comercio de Bogotá, realizó un estudio en el que estableció los mapas del clúster de cuero, calzado y marroquinería en Bogotá y Cundinamarca</w:t>
      </w:r>
      <w:r>
        <w:rPr>
          <w:rFonts w:ascii="Arial" w:eastAsia="Arial" w:hAnsi="Arial" w:cs="Arial"/>
          <w:sz w:val="22"/>
          <w:szCs w:val="22"/>
          <w:vertAlign w:val="superscript"/>
        </w:rPr>
        <w:footnoteReference w:id="5"/>
      </w:r>
      <w:r>
        <w:rPr>
          <w:rFonts w:ascii="Arial" w:eastAsia="Arial" w:hAnsi="Arial" w:cs="Arial"/>
          <w:sz w:val="22"/>
          <w:szCs w:val="22"/>
        </w:rPr>
        <w:t xml:space="preserve">. El documento revela una dinámica empresarial robusta en el sector con un total de 4,962 empresas activas en Bogotá y Soacha. Esta concentración empresarial se caracteriza por una marcada presencia en las localidades del sur y centro de la ciudad, destacando zonas como Tunjuelito, Ciudad Bolívar, </w:t>
      </w:r>
      <w:r>
        <w:rPr>
          <w:rFonts w:ascii="Arial" w:eastAsia="Arial" w:hAnsi="Arial" w:cs="Arial"/>
          <w:b/>
          <w:sz w:val="22"/>
          <w:szCs w:val="22"/>
        </w:rPr>
        <w:t>Antonio Nariño</w:t>
      </w:r>
      <w:r>
        <w:rPr>
          <w:rFonts w:ascii="Arial" w:eastAsia="Arial" w:hAnsi="Arial" w:cs="Arial"/>
          <w:sz w:val="22"/>
          <w:szCs w:val="22"/>
        </w:rPr>
        <w:t>, Rafael Uribe, Los Mártires, Santa Fe y La Candelaria.</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 xml:space="preserve">El barrio Restrepo, ubicado en la localidad de Antonio Nariño, emerge como un punto estratégico en este ecosistema empresarial concentrando la mayor producción de cuero, calzado y marroquinería de la ciudad. Específicamente, las áreas de Restrepo Occidental y Restrepo son identificadas como </w:t>
      </w:r>
      <w:proofErr w:type="spellStart"/>
      <w:r>
        <w:rPr>
          <w:rFonts w:ascii="Arial" w:eastAsia="Arial" w:hAnsi="Arial" w:cs="Arial"/>
          <w:sz w:val="22"/>
          <w:szCs w:val="22"/>
        </w:rPr>
        <w:t>hotspots</w:t>
      </w:r>
      <w:proofErr w:type="spellEnd"/>
      <w:r>
        <w:rPr>
          <w:rFonts w:ascii="Arial" w:eastAsia="Arial" w:hAnsi="Arial" w:cs="Arial"/>
          <w:sz w:val="22"/>
          <w:szCs w:val="22"/>
        </w:rPr>
        <w:t xml:space="preserve"> de actividad económica, concentrando un número significativo de empresas dedicadas al procesamiento y transformación del cuero, así como a la producción de calzado y artículos de marroquinería.</w:t>
      </w:r>
    </w:p>
    <w:p w:rsidR="0010066B" w:rsidRDefault="00F432AA">
      <w:pPr>
        <w:tabs>
          <w:tab w:val="left" w:pos="284"/>
        </w:tabs>
        <w:spacing w:before="240" w:after="240" w:line="276" w:lineRule="auto"/>
        <w:jc w:val="center"/>
        <w:rPr>
          <w:rFonts w:ascii="Arial" w:eastAsia="Arial" w:hAnsi="Arial" w:cs="Arial"/>
          <w:sz w:val="22"/>
          <w:szCs w:val="22"/>
        </w:rPr>
      </w:pPr>
      <w:r>
        <w:rPr>
          <w:rFonts w:ascii="Arial" w:eastAsia="Arial" w:hAnsi="Arial" w:cs="Arial"/>
          <w:noProof/>
          <w:sz w:val="22"/>
          <w:szCs w:val="22"/>
          <w:lang w:val="es-CO" w:eastAsia="es-CO"/>
        </w:rPr>
        <w:drawing>
          <wp:inline distT="114300" distB="114300" distL="114300" distR="114300">
            <wp:extent cx="5013960" cy="2919844"/>
            <wp:effectExtent l="0" t="0" r="0" b="0"/>
            <wp:docPr id="22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5013960" cy="2919844"/>
                    </a:xfrm>
                    <a:prstGeom prst="rect">
                      <a:avLst/>
                    </a:prstGeom>
                    <a:ln/>
                  </pic:spPr>
                </pic:pic>
              </a:graphicData>
            </a:graphic>
          </wp:inline>
        </w:drawing>
      </w: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sz w:val="22"/>
          <w:szCs w:val="22"/>
        </w:rPr>
        <w:t xml:space="preserve">A nivel territorial, el estudio registra 5,374 empresas activas en las localidades de Bogotá y municipios de Cundinamarca, complementadas por 411 empresas adicionales en otros municipios. </w:t>
      </w:r>
      <w:r>
        <w:rPr>
          <w:rFonts w:ascii="Arial" w:eastAsia="Arial" w:hAnsi="Arial" w:cs="Arial"/>
          <w:b/>
          <w:sz w:val="22"/>
          <w:szCs w:val="22"/>
        </w:rPr>
        <w:t>Esta distribución refleja la importancia del sector como motor económico regional, con el barrio Restrepo posicionándose como un núcleo fundamental de esta industria.</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La concentración empresarial en esta zona no es casual, sino resultado de una dinámica histórica de especialización y desarrollo económico local, donde la tradición del trabajo con cuero se ha consolidado como un elemento distintivo del tejido productivo bogotano.</w:t>
      </w:r>
    </w:p>
    <w:p w:rsidR="0010066B" w:rsidRDefault="0010066B">
      <w:pPr>
        <w:tabs>
          <w:tab w:val="left" w:pos="284"/>
        </w:tabs>
        <w:spacing w:before="240" w:after="240" w:line="276" w:lineRule="auto"/>
        <w:jc w:val="both"/>
        <w:rPr>
          <w:rFonts w:ascii="Arial" w:eastAsia="Arial" w:hAnsi="Arial" w:cs="Arial"/>
          <w:sz w:val="22"/>
          <w:szCs w:val="22"/>
        </w:rPr>
      </w:pPr>
    </w:p>
    <w:p w:rsidR="0010066B" w:rsidRDefault="0010066B">
      <w:pPr>
        <w:tabs>
          <w:tab w:val="left" w:pos="284"/>
        </w:tabs>
        <w:spacing w:before="240" w:after="240" w:line="276" w:lineRule="auto"/>
        <w:jc w:val="both"/>
        <w:rPr>
          <w:rFonts w:ascii="Arial" w:eastAsia="Arial" w:hAnsi="Arial" w:cs="Arial"/>
          <w:sz w:val="22"/>
          <w:szCs w:val="22"/>
        </w:rPr>
      </w:pP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b/>
        </w:rPr>
        <w:t xml:space="preserve">3.5. </w:t>
      </w:r>
      <w:r>
        <w:rPr>
          <w:rFonts w:ascii="Arial" w:eastAsia="Arial" w:hAnsi="Arial" w:cs="Arial"/>
          <w:b/>
          <w:sz w:val="22"/>
          <w:szCs w:val="22"/>
        </w:rPr>
        <w:t>Clúster de Cuero, Calzado y Marroquinería en la Localidad de Antonio Nariño: Barrio Restrepo.</w:t>
      </w: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sz w:val="22"/>
          <w:szCs w:val="22"/>
        </w:rPr>
        <w:t xml:space="preserve">La actividad comercial predominante en la localidad de Antonio Nariño es el comercio al por menor de una amplia variedad de productos. En particular, el barrio Restrepo se destaca por la comercialización de prendas de vestir, cuero, calzado, marroquinería y sus derivados. Esta zona alberga una notable concentración de establecimientos comerciales, microempresas familiares y pequeñas empresas, muchas de las cuales están dedicadas principalmente a la producción de estos artículos. Aunque existe poca información oficial sobre el comportamiento económico del sector, el informe de caracterización territorial </w:t>
      </w:r>
      <w:r>
        <w:rPr>
          <w:rFonts w:ascii="Arial" w:eastAsia="Arial" w:hAnsi="Arial" w:cs="Arial"/>
          <w:i/>
          <w:sz w:val="22"/>
          <w:szCs w:val="22"/>
        </w:rPr>
        <w:t>"Restrepo Social e Incluyente</w:t>
      </w:r>
      <w:r>
        <w:rPr>
          <w:rFonts w:ascii="Arial" w:eastAsia="Arial" w:hAnsi="Arial" w:cs="Arial"/>
          <w:sz w:val="22"/>
          <w:szCs w:val="22"/>
        </w:rPr>
        <w:t>"</w:t>
      </w:r>
      <w:r>
        <w:rPr>
          <w:rFonts w:ascii="Arial" w:eastAsia="Arial" w:hAnsi="Arial" w:cs="Arial"/>
          <w:sz w:val="22"/>
          <w:szCs w:val="22"/>
          <w:vertAlign w:val="superscript"/>
        </w:rPr>
        <w:footnoteReference w:id="6"/>
      </w:r>
      <w:r>
        <w:rPr>
          <w:rFonts w:ascii="Arial" w:eastAsia="Arial" w:hAnsi="Arial" w:cs="Arial"/>
          <w:sz w:val="22"/>
          <w:szCs w:val="22"/>
        </w:rPr>
        <w:t>, elaborado por la Secretaría de Integración Social, y el Plan Local de Gestión de Riesgo 2023</w:t>
      </w:r>
      <w:r>
        <w:rPr>
          <w:rFonts w:ascii="Arial" w:eastAsia="Arial" w:hAnsi="Arial" w:cs="Arial"/>
          <w:sz w:val="22"/>
          <w:szCs w:val="22"/>
          <w:vertAlign w:val="superscript"/>
        </w:rPr>
        <w:footnoteReference w:id="7"/>
      </w:r>
      <w:r>
        <w:rPr>
          <w:rFonts w:ascii="Arial" w:eastAsia="Arial" w:hAnsi="Arial" w:cs="Arial"/>
          <w:sz w:val="22"/>
          <w:szCs w:val="22"/>
        </w:rPr>
        <w:t xml:space="preserve">, desarrollado por el IDIGER, evaluaron las actividades económicas de la zona destacando lo siguiente: </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El sector más relevante es el de prendas de vestir, cuero y calzado, que concentra aproximadamente el 40% de las empresas comerciales del barrio Restrepo. En menor medida, también se destacan los comercios de autopartes, accesorios y artículos de lujo para vehículos, especialmente en los barrios Restrepo y La Fraguita. Asimismo, se observa una importante presencia de establecimientos dedicados a la venta de alimentos, bebidas y tabaco, distribuidos por toda la localidad, así como de productos de consumo doméstico, textiles y artículos de cuero y calzado en tiendas especializadas, principalmente en los barrios Restrepo y Policarpa.</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En cuanto a la actividad industrial, en 2004 se registraron en la localidad 1.143 industrias, la mayoría de ellas microempresas. Las principales actividades industriales de la zona están relacionadas con el curtido y preparado de cueros, la fabricación de calzado, la producción de artículos de viaje como maletas y bolsos, así como productos de talabartería y guarnicionería. Estas actividades están especialmente concentradas en el sector La Valvanera del barrio Restrepo. La fabricación de prendas de vestir, a excepción de las de piel, ocupa el segundo lugar en la industria local.</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La distribución de la actividad económica en la localidad es la siguiente: el 58,3% corresponde al comercio, el 12,5% a la industria, el 27,3% a los servicios, y el 9% restante a otras actividades. En la UPZ Restrepo, destacan especialmente la metalmecánica, la industria del cuero y el comercio.</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El comercio en Antonio Nariño se caracteriza por una notable presencia de la venta de ropa (29,7%), seguido del calzado (22,7%), adornos y joyas (9,9%), material para la construcción y ferretería (5%), papelería (3,9%), repuestos (1%) y otros productos (27,8%). De este comercio, el 60,4% se realiza al detal, el 1,8% al por mayor y el 37,8% en ambas modalidades.</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En términos de tamaño empresarial, la localidad se caracteriza principalmente por la presencia de microempresas, que representan el 92% del total de las empresas registradas. De las 4.527 empresas establecidas en Antonio Nariño, la mayoría se encuentra cerca de los sectores tradicionales de los barrios Restrepo, Restrepo Occidental, Ciudad Jardín Sur, San Antonio de Padua, Valvanera y Santander Sur.</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En el sector industrial, la mayoría de las empresas se concentran en actividades de curtido y preparado de cueros, fabricación de calzado, producción de artículos de viaje, maletas, bolsos de mano y similares, así como productos de talabartería y guarnicionería. El barrio La Valvanera alberga aproximadamente el 23% de estas empresas.</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Según la Cámara de Comercio de Bogotá, los tres principales sectores generadores de empleo en la localidad son la venta de calzado, la venta de ropa y los restaurantes, que en conjunto suman 2.951 trabajadores, lo que representa el 34% del total de los trabajadores informales en la zona. Es importante señalar que la informalidad laboral no es una opción voluntaria, sino una respuesta a la incapacidad del sector formal para absorber la creciente demanda de empleo.</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Del total de empresas en Antonio Nariño, el 79% son de personas naturales y el 21% de personas jurídicas. Además, se han identificado 2.880 posibles empresas que podrían integrarse a las cadenas productivas de cuero y calzado, productos alimenticios, textil y confección, construcción e ingeniería civil.</w:t>
      </w:r>
    </w:p>
    <w:p w:rsidR="0010066B" w:rsidRDefault="00F432AA">
      <w:pPr>
        <w:tabs>
          <w:tab w:val="left" w:pos="284"/>
        </w:tabs>
        <w:spacing w:before="240" w:after="240" w:line="276" w:lineRule="auto"/>
        <w:jc w:val="both"/>
        <w:rPr>
          <w:rFonts w:ascii="Arial" w:eastAsia="Arial" w:hAnsi="Arial" w:cs="Arial"/>
          <w:sz w:val="22"/>
          <w:szCs w:val="22"/>
        </w:rPr>
      </w:pPr>
      <w:r>
        <w:rPr>
          <w:rFonts w:ascii="Arial" w:eastAsia="Arial" w:hAnsi="Arial" w:cs="Arial"/>
          <w:sz w:val="22"/>
          <w:szCs w:val="22"/>
        </w:rPr>
        <w:t>En síntesis, la institucionalización de la “</w:t>
      </w:r>
      <w:r>
        <w:rPr>
          <w:rFonts w:ascii="Arial" w:eastAsia="Arial" w:hAnsi="Arial" w:cs="Arial"/>
          <w:b/>
          <w:sz w:val="22"/>
          <w:szCs w:val="22"/>
        </w:rPr>
        <w:t>Expo Restrepo”</w:t>
      </w:r>
      <w:r>
        <w:rPr>
          <w:rFonts w:ascii="Arial" w:eastAsia="Arial" w:hAnsi="Arial" w:cs="Arial"/>
          <w:sz w:val="22"/>
          <w:szCs w:val="22"/>
        </w:rPr>
        <w:t xml:space="preserve"> constituye una oportunidad estratégica para fortalecer el desarrollo local del sector del cuero, calzado y marroquinería, un eje productivo tradicional de Bogotá y la región. Este evento puede convertirse en una plataforma clave para fortalecer la competitividad de las empresas locales, impulsar la formalización y visibilizar el talento y la innovación de los empresarios del barrio Restrepo, epicentro histórico de esta industria. Además, fomenta la generación de redes de negocio, la atracción de nuevos mercados y la valorización del patrimonio cultural asociado a esta actividad económica.</w:t>
      </w:r>
    </w:p>
    <w:p w:rsidR="0010066B" w:rsidRDefault="00F432AA">
      <w:pPr>
        <w:tabs>
          <w:tab w:val="left" w:pos="284"/>
        </w:tabs>
        <w:spacing w:before="240" w:after="240" w:line="276" w:lineRule="auto"/>
        <w:jc w:val="both"/>
        <w:rPr>
          <w:rFonts w:ascii="Arial" w:eastAsia="Arial" w:hAnsi="Arial" w:cs="Arial"/>
          <w:b/>
          <w:sz w:val="22"/>
          <w:szCs w:val="22"/>
        </w:rPr>
      </w:pPr>
      <w:r>
        <w:rPr>
          <w:rFonts w:ascii="Arial" w:eastAsia="Arial" w:hAnsi="Arial" w:cs="Arial"/>
          <w:sz w:val="22"/>
          <w:szCs w:val="22"/>
        </w:rPr>
        <w:t>Como instrumento de desarrollo territorial, la Expo Restrepo puede contribuir a mitigar desafíos estructurales del sector, como la informalidad y la competencia desleal, mientras posiciona a la localidad de Antonio Nariño como un referente nacional e internacional en la producción de cuero y marroquinería. Por tanto, institucionalizar este espacio es un paso crucial para dinamizar la economía local, proteger los empleos generados por este sector y promover la sostenibilidad y resiliencia de un oficio que define la identidad productiva de Bogotá.</w:t>
      </w:r>
    </w:p>
    <w:p w:rsidR="0010066B" w:rsidRDefault="0010066B">
      <w:pPr>
        <w:tabs>
          <w:tab w:val="left" w:pos="284"/>
        </w:tabs>
        <w:spacing w:line="276" w:lineRule="auto"/>
        <w:jc w:val="both"/>
        <w:rPr>
          <w:rFonts w:ascii="Arial" w:eastAsia="Arial" w:hAnsi="Arial" w:cs="Arial"/>
          <w:b/>
          <w:sz w:val="22"/>
          <w:szCs w:val="22"/>
        </w:rPr>
      </w:pPr>
    </w:p>
    <w:p w:rsidR="0010066B" w:rsidRDefault="00F432AA">
      <w:pPr>
        <w:numPr>
          <w:ilvl w:val="0"/>
          <w:numId w:val="3"/>
        </w:numPr>
        <w:pBdr>
          <w:top w:val="nil"/>
          <w:left w:val="nil"/>
          <w:bottom w:val="nil"/>
          <w:right w:val="nil"/>
          <w:between w:val="nil"/>
        </w:pBdr>
        <w:tabs>
          <w:tab w:val="left" w:pos="284"/>
        </w:tabs>
        <w:spacing w:line="276" w:lineRule="auto"/>
        <w:jc w:val="both"/>
        <w:rPr>
          <w:rFonts w:ascii="Arial" w:eastAsia="Arial" w:hAnsi="Arial" w:cs="Arial"/>
          <w:sz w:val="22"/>
          <w:szCs w:val="22"/>
        </w:rPr>
      </w:pPr>
      <w:r>
        <w:rPr>
          <w:rFonts w:ascii="Arial" w:eastAsia="Arial" w:hAnsi="Arial" w:cs="Arial"/>
          <w:b/>
          <w:sz w:val="22"/>
          <w:szCs w:val="22"/>
        </w:rPr>
        <w:t>CONSTITUCIONALIDAD Y LEGALIDAD</w:t>
      </w:r>
    </w:p>
    <w:p w:rsidR="0010066B" w:rsidRDefault="00F432AA">
      <w:pPr>
        <w:tabs>
          <w:tab w:val="left" w:pos="284"/>
        </w:tabs>
        <w:spacing w:before="280" w:after="280" w:line="301" w:lineRule="auto"/>
        <w:jc w:val="both"/>
        <w:rPr>
          <w:rFonts w:ascii="Arial" w:eastAsia="Arial" w:hAnsi="Arial" w:cs="Arial"/>
          <w:b/>
          <w:sz w:val="22"/>
          <w:szCs w:val="22"/>
        </w:rPr>
      </w:pPr>
      <w:r>
        <w:rPr>
          <w:rFonts w:ascii="Arial" w:eastAsia="Arial" w:hAnsi="Arial" w:cs="Arial"/>
          <w:b/>
          <w:sz w:val="22"/>
          <w:szCs w:val="22"/>
        </w:rPr>
        <w:t>CONSTITUCIÓN POLÍTICA</w:t>
      </w:r>
    </w:p>
    <w:p w:rsidR="0010066B" w:rsidRDefault="00F432AA">
      <w:pPr>
        <w:tabs>
          <w:tab w:val="left" w:pos="284"/>
        </w:tabs>
        <w:spacing w:before="280" w:after="280" w:line="301" w:lineRule="auto"/>
        <w:jc w:val="both"/>
        <w:rPr>
          <w:rFonts w:ascii="Arial" w:eastAsia="Arial" w:hAnsi="Arial" w:cs="Arial"/>
          <w:sz w:val="22"/>
          <w:szCs w:val="22"/>
        </w:rPr>
      </w:pPr>
      <w:r>
        <w:rPr>
          <w:rFonts w:ascii="Arial" w:eastAsia="Arial" w:hAnsi="Arial" w:cs="Arial"/>
          <w:b/>
          <w:sz w:val="22"/>
          <w:szCs w:val="22"/>
        </w:rPr>
        <w:t>ARTÍCULO</w:t>
      </w:r>
      <w:r>
        <w:rPr>
          <w:rFonts w:ascii="Arial" w:eastAsia="Arial" w:hAnsi="Arial" w:cs="Arial"/>
          <w:b/>
          <w:sz w:val="22"/>
          <w:szCs w:val="22"/>
          <w:highlight w:val="white"/>
        </w:rPr>
        <w:t xml:space="preserve"> </w:t>
      </w:r>
      <w:r>
        <w:rPr>
          <w:rFonts w:ascii="Arial" w:eastAsia="Arial" w:hAnsi="Arial" w:cs="Arial"/>
          <w:b/>
          <w:sz w:val="22"/>
          <w:szCs w:val="22"/>
        </w:rPr>
        <w:t>1.</w:t>
      </w:r>
      <w:r>
        <w:rPr>
          <w:rFonts w:ascii="Arial" w:eastAsia="Arial" w:hAnsi="Arial" w:cs="Arial"/>
          <w:b/>
          <w:sz w:val="22"/>
          <w:szCs w:val="22"/>
          <w:highlight w:val="white"/>
        </w:rPr>
        <w:t xml:space="preserve"> </w:t>
      </w:r>
      <w:r>
        <w:rPr>
          <w:rFonts w:ascii="Arial" w:eastAsia="Arial" w:hAnsi="Arial" w:cs="Arial"/>
          <w:sz w:val="22"/>
          <w:szCs w:val="22"/>
        </w:rPr>
        <w:t xml:space="preserve">Colombia es un Estado social de derecho, organizado en forma de República unitaria, descentralizada, </w:t>
      </w:r>
      <w:r>
        <w:rPr>
          <w:rFonts w:ascii="Arial" w:eastAsia="Arial" w:hAnsi="Arial" w:cs="Arial"/>
          <w:sz w:val="22"/>
          <w:szCs w:val="22"/>
          <w:u w:val="single"/>
        </w:rPr>
        <w:t xml:space="preserve">con autonomía de sus entidades territoriales, </w:t>
      </w:r>
      <w:r>
        <w:rPr>
          <w:rFonts w:ascii="Arial" w:eastAsia="Arial" w:hAnsi="Arial" w:cs="Arial"/>
          <w:sz w:val="22"/>
          <w:szCs w:val="22"/>
        </w:rPr>
        <w:t xml:space="preserve">democrática, participativa y pluralista, </w:t>
      </w:r>
      <w:r>
        <w:rPr>
          <w:rFonts w:ascii="Arial" w:eastAsia="Arial" w:hAnsi="Arial" w:cs="Arial"/>
          <w:sz w:val="22"/>
          <w:szCs w:val="22"/>
          <w:u w:val="single"/>
        </w:rPr>
        <w:t>fundada en el respeto de la dignidad humana, en el trabajo y la solidaridad de las personas que la integran y en la prevalencia del interés general</w:t>
      </w:r>
      <w:r>
        <w:rPr>
          <w:rFonts w:ascii="Arial" w:eastAsia="Arial" w:hAnsi="Arial" w:cs="Arial"/>
          <w:sz w:val="22"/>
          <w:szCs w:val="22"/>
        </w:rPr>
        <w:t>. (Subrayado fuera de texto)</w:t>
      </w:r>
    </w:p>
    <w:p w:rsidR="0010066B" w:rsidRDefault="00F432AA">
      <w:pPr>
        <w:tabs>
          <w:tab w:val="left" w:pos="284"/>
        </w:tabs>
        <w:spacing w:before="280" w:after="280" w:line="301" w:lineRule="auto"/>
        <w:jc w:val="both"/>
        <w:rPr>
          <w:rFonts w:ascii="Arial" w:eastAsia="Arial" w:hAnsi="Arial" w:cs="Arial"/>
          <w:sz w:val="22"/>
          <w:szCs w:val="22"/>
        </w:rPr>
      </w:pPr>
      <w:r>
        <w:rPr>
          <w:rFonts w:ascii="Arial" w:eastAsia="Arial" w:hAnsi="Arial" w:cs="Arial"/>
          <w:b/>
          <w:sz w:val="22"/>
          <w:szCs w:val="22"/>
        </w:rPr>
        <w:t xml:space="preserve">ARTÍCULO 2o. </w:t>
      </w:r>
      <w:r>
        <w:rPr>
          <w:rFonts w:ascii="Arial" w:eastAsia="Arial" w:hAnsi="Arial" w:cs="Arial"/>
          <w:sz w:val="22"/>
          <w:szCs w:val="22"/>
        </w:rPr>
        <w:t xml:space="preserve">Son fines esenciales del Estado: </w:t>
      </w:r>
      <w:r>
        <w:rPr>
          <w:rFonts w:ascii="Arial" w:eastAsia="Arial" w:hAnsi="Arial" w:cs="Arial"/>
          <w:sz w:val="22"/>
          <w:szCs w:val="22"/>
          <w:u w:val="single"/>
        </w:rPr>
        <w:t>servir a la comunidad, promover la prosperidad general</w:t>
      </w:r>
      <w:r>
        <w:rPr>
          <w:rFonts w:ascii="Arial" w:eastAsia="Arial" w:hAnsi="Arial" w:cs="Arial"/>
          <w:sz w:val="22"/>
          <w:szCs w:val="22"/>
        </w:rPr>
        <w:t xml:space="preserve"> y garantizar la efectividad de los principios, derechos y deberes consagrados en la Constitución; </w:t>
      </w:r>
      <w:r>
        <w:rPr>
          <w:rFonts w:ascii="Arial" w:eastAsia="Arial" w:hAnsi="Arial" w:cs="Arial"/>
          <w:sz w:val="22"/>
          <w:szCs w:val="22"/>
          <w:u w:val="single"/>
        </w:rPr>
        <w:t xml:space="preserve">facilitar la participación de todos en las decisiones que los afectan y en la vida económica, política, administrativa y cultural de la Nación; </w:t>
      </w:r>
      <w:r>
        <w:rPr>
          <w:rFonts w:ascii="Arial" w:eastAsia="Arial" w:hAnsi="Arial" w:cs="Arial"/>
          <w:sz w:val="22"/>
          <w:szCs w:val="22"/>
        </w:rPr>
        <w:t>defender la independencia nacional, mantener la integridad territorial y asegurar la convivencia pacífica y la vigencia de un orden justo.</w:t>
      </w:r>
    </w:p>
    <w:p w:rsidR="0010066B" w:rsidRDefault="00F432AA">
      <w:pPr>
        <w:tabs>
          <w:tab w:val="left" w:pos="284"/>
        </w:tabs>
        <w:spacing w:before="280" w:after="280" w:line="301" w:lineRule="auto"/>
        <w:jc w:val="both"/>
        <w:rPr>
          <w:rFonts w:ascii="Arial" w:eastAsia="Arial" w:hAnsi="Arial" w:cs="Arial"/>
          <w:sz w:val="22"/>
          <w:szCs w:val="22"/>
          <w:highlight w:val="white"/>
        </w:rPr>
      </w:pPr>
      <w:r>
        <w:rPr>
          <w:rFonts w:ascii="Arial" w:eastAsia="Arial" w:hAnsi="Arial" w:cs="Arial"/>
          <w:b/>
          <w:sz w:val="22"/>
          <w:szCs w:val="22"/>
        </w:rPr>
        <w:t xml:space="preserve">ARTÍCULO  25. </w:t>
      </w:r>
      <w:r>
        <w:rPr>
          <w:rFonts w:ascii="Arial" w:eastAsia="Arial" w:hAnsi="Arial" w:cs="Arial"/>
          <w:sz w:val="22"/>
          <w:szCs w:val="22"/>
          <w:highlight w:val="white"/>
          <w:u w:val="single"/>
        </w:rPr>
        <w:t>El trabajo es un derecho y una obligación social y goza, en todas sus modalidades, de la especial protección del Estado</w:t>
      </w:r>
      <w:r>
        <w:rPr>
          <w:rFonts w:ascii="Arial" w:eastAsia="Arial" w:hAnsi="Arial" w:cs="Arial"/>
          <w:sz w:val="22"/>
          <w:szCs w:val="22"/>
          <w:highlight w:val="white"/>
        </w:rPr>
        <w:t>. Toda persona tiene derecho a un trabajo en condiciones dignas y justas.</w:t>
      </w:r>
    </w:p>
    <w:p w:rsidR="0010066B" w:rsidRDefault="00F432AA">
      <w:pPr>
        <w:tabs>
          <w:tab w:val="left" w:pos="284"/>
        </w:tabs>
        <w:spacing w:after="160" w:line="301" w:lineRule="auto"/>
        <w:jc w:val="both"/>
        <w:rPr>
          <w:rFonts w:ascii="Arial" w:eastAsia="Arial" w:hAnsi="Arial" w:cs="Arial"/>
          <w:sz w:val="22"/>
          <w:szCs w:val="22"/>
          <w:highlight w:val="white"/>
        </w:rPr>
      </w:pPr>
      <w:r>
        <w:rPr>
          <w:rFonts w:ascii="Arial" w:eastAsia="Arial" w:hAnsi="Arial" w:cs="Arial"/>
          <w:b/>
          <w:sz w:val="22"/>
          <w:szCs w:val="22"/>
          <w:highlight w:val="white"/>
        </w:rPr>
        <w:t xml:space="preserve">ARTÍCULO 333. </w:t>
      </w:r>
      <w:r>
        <w:rPr>
          <w:rFonts w:ascii="Arial" w:eastAsia="Arial" w:hAnsi="Arial" w:cs="Arial"/>
          <w:sz w:val="22"/>
          <w:szCs w:val="22"/>
          <w:highlight w:val="white"/>
          <w:u w:val="single"/>
        </w:rPr>
        <w:t>La actividad económica y la iniciativa privada son libres, dentro de los límites del bien común</w:t>
      </w:r>
      <w:r>
        <w:rPr>
          <w:rFonts w:ascii="Arial" w:eastAsia="Arial" w:hAnsi="Arial" w:cs="Arial"/>
          <w:sz w:val="22"/>
          <w:szCs w:val="22"/>
          <w:highlight w:val="white"/>
        </w:rPr>
        <w:t>. Para su ejercicio, nadie podrá exigir permisos previos ni requisitos, sin autorización de la ley.</w:t>
      </w:r>
    </w:p>
    <w:p w:rsidR="0010066B" w:rsidRDefault="00F432AA">
      <w:pPr>
        <w:tabs>
          <w:tab w:val="left" w:pos="284"/>
        </w:tabs>
        <w:spacing w:after="160" w:line="301" w:lineRule="auto"/>
        <w:jc w:val="both"/>
        <w:rPr>
          <w:rFonts w:ascii="Arial" w:eastAsia="Arial" w:hAnsi="Arial" w:cs="Arial"/>
          <w:sz w:val="22"/>
          <w:szCs w:val="22"/>
          <w:highlight w:val="white"/>
        </w:rPr>
      </w:pPr>
      <w:r>
        <w:rPr>
          <w:rFonts w:ascii="Arial" w:eastAsia="Arial" w:hAnsi="Arial" w:cs="Arial"/>
          <w:sz w:val="22"/>
          <w:szCs w:val="22"/>
          <w:highlight w:val="white"/>
        </w:rPr>
        <w:t>La libre competencia económica es un derecho de todos que supone responsabilidades.</w:t>
      </w:r>
    </w:p>
    <w:p w:rsidR="0010066B" w:rsidRDefault="00F432AA">
      <w:pPr>
        <w:tabs>
          <w:tab w:val="left" w:pos="284"/>
        </w:tabs>
        <w:spacing w:after="160" w:line="301" w:lineRule="auto"/>
        <w:jc w:val="both"/>
        <w:rPr>
          <w:rFonts w:ascii="Arial" w:eastAsia="Arial" w:hAnsi="Arial" w:cs="Arial"/>
          <w:sz w:val="22"/>
          <w:szCs w:val="22"/>
          <w:highlight w:val="white"/>
          <w:u w:val="single"/>
        </w:rPr>
      </w:pPr>
      <w:r>
        <w:rPr>
          <w:rFonts w:ascii="Arial" w:eastAsia="Arial" w:hAnsi="Arial" w:cs="Arial"/>
          <w:sz w:val="22"/>
          <w:szCs w:val="22"/>
          <w:highlight w:val="white"/>
          <w:u w:val="single"/>
        </w:rPr>
        <w:t>La empresa, como base del desarrollo, tiene una función social que implica obligaciones. El Estado fortalecerá las organizaciones solidarias y estimulará el desarrollo empresarial.</w:t>
      </w:r>
    </w:p>
    <w:p w:rsidR="0010066B" w:rsidRDefault="00F432AA">
      <w:pPr>
        <w:tabs>
          <w:tab w:val="left" w:pos="284"/>
        </w:tabs>
        <w:spacing w:after="160" w:line="301" w:lineRule="auto"/>
        <w:jc w:val="both"/>
        <w:rPr>
          <w:rFonts w:ascii="Arial" w:eastAsia="Arial" w:hAnsi="Arial" w:cs="Arial"/>
          <w:sz w:val="22"/>
          <w:szCs w:val="22"/>
          <w:highlight w:val="white"/>
        </w:rPr>
      </w:pPr>
      <w:r>
        <w:rPr>
          <w:rFonts w:ascii="Arial" w:eastAsia="Arial" w:hAnsi="Arial" w:cs="Arial"/>
          <w:sz w:val="22"/>
          <w:szCs w:val="22"/>
          <w:highlight w:val="white"/>
        </w:rPr>
        <w:t>El Estado, por mandato de la ley, impedirá que se obstruya o se restrinja la libertad económica y evitará o controlará cualquier abuso que personas o empresas hagan de su posición dominante en el mercado nacional.</w:t>
      </w:r>
    </w:p>
    <w:p w:rsidR="0010066B" w:rsidRDefault="00F432AA">
      <w:pPr>
        <w:tabs>
          <w:tab w:val="left" w:pos="284"/>
        </w:tabs>
        <w:spacing w:after="160" w:line="301" w:lineRule="auto"/>
        <w:jc w:val="both"/>
        <w:rPr>
          <w:rFonts w:ascii="Arial" w:eastAsia="Arial" w:hAnsi="Arial" w:cs="Arial"/>
          <w:sz w:val="22"/>
          <w:szCs w:val="22"/>
          <w:highlight w:val="white"/>
        </w:rPr>
      </w:pPr>
      <w:r>
        <w:rPr>
          <w:rFonts w:ascii="Arial" w:eastAsia="Arial" w:hAnsi="Arial" w:cs="Arial"/>
          <w:sz w:val="22"/>
          <w:szCs w:val="22"/>
          <w:highlight w:val="white"/>
        </w:rPr>
        <w:t>La ley delimitará el alcance de la libertad económica cuando así lo exijan el interés social, el ambiente y el patrimonio cultural de la Nación.</w:t>
      </w:r>
    </w:p>
    <w:p w:rsidR="0010066B" w:rsidRDefault="00F432AA">
      <w:pPr>
        <w:tabs>
          <w:tab w:val="left" w:pos="284"/>
        </w:tabs>
        <w:spacing w:before="280" w:after="280" w:line="301" w:lineRule="auto"/>
        <w:jc w:val="both"/>
        <w:rPr>
          <w:rFonts w:ascii="Arial" w:eastAsia="Arial" w:hAnsi="Arial" w:cs="Arial"/>
          <w:b/>
          <w:sz w:val="22"/>
          <w:szCs w:val="22"/>
          <w:highlight w:val="white"/>
        </w:rPr>
      </w:pPr>
      <w:r>
        <w:rPr>
          <w:rFonts w:ascii="Arial" w:eastAsia="Arial" w:hAnsi="Arial" w:cs="Arial"/>
          <w:b/>
          <w:sz w:val="22"/>
          <w:szCs w:val="22"/>
          <w:highlight w:val="white"/>
        </w:rPr>
        <w:t>LEYES</w:t>
      </w:r>
    </w:p>
    <w:p w:rsidR="0010066B" w:rsidRDefault="00F432AA">
      <w:pPr>
        <w:tabs>
          <w:tab w:val="left" w:pos="284"/>
        </w:tabs>
        <w:spacing w:before="280" w:after="280" w:line="301" w:lineRule="auto"/>
        <w:jc w:val="both"/>
        <w:rPr>
          <w:rFonts w:ascii="Arial" w:eastAsia="Arial" w:hAnsi="Arial" w:cs="Arial"/>
          <w:i/>
          <w:sz w:val="22"/>
          <w:szCs w:val="22"/>
          <w:highlight w:val="white"/>
        </w:rPr>
      </w:pPr>
      <w:r>
        <w:rPr>
          <w:rFonts w:ascii="Arial" w:eastAsia="Arial" w:hAnsi="Arial" w:cs="Arial"/>
          <w:b/>
          <w:sz w:val="22"/>
          <w:szCs w:val="22"/>
          <w:highlight w:val="white"/>
        </w:rPr>
        <w:t>LEY 590 DE 2000:</w:t>
      </w:r>
      <w:r>
        <w:rPr>
          <w:rFonts w:ascii="Arial" w:eastAsia="Arial" w:hAnsi="Arial" w:cs="Arial"/>
          <w:sz w:val="22"/>
          <w:szCs w:val="22"/>
          <w:highlight w:val="white"/>
        </w:rPr>
        <w:t xml:space="preserve"> “</w:t>
      </w:r>
      <w:r>
        <w:rPr>
          <w:rFonts w:ascii="Arial" w:eastAsia="Arial" w:hAnsi="Arial" w:cs="Arial"/>
          <w:i/>
          <w:sz w:val="22"/>
          <w:szCs w:val="22"/>
          <w:highlight w:val="white"/>
        </w:rPr>
        <w:t>Por la cual se dictan disposiciones para promover el desarrollo de las micro, pequeñas y medianas empresa”</w:t>
      </w:r>
    </w:p>
    <w:p w:rsidR="0010066B" w:rsidRDefault="00F432AA">
      <w:pPr>
        <w:tabs>
          <w:tab w:val="left" w:pos="284"/>
        </w:tabs>
        <w:spacing w:before="280" w:after="280" w:line="301" w:lineRule="auto"/>
        <w:jc w:val="both"/>
        <w:rPr>
          <w:rFonts w:ascii="Arial" w:eastAsia="Arial" w:hAnsi="Arial" w:cs="Arial"/>
          <w:i/>
          <w:sz w:val="22"/>
          <w:szCs w:val="22"/>
          <w:highlight w:val="white"/>
        </w:rPr>
      </w:pPr>
      <w:r>
        <w:rPr>
          <w:rFonts w:ascii="Arial" w:eastAsia="Arial" w:hAnsi="Arial" w:cs="Arial"/>
          <w:i/>
          <w:sz w:val="22"/>
          <w:szCs w:val="22"/>
          <w:highlight w:val="white"/>
        </w:rPr>
        <w:tab/>
        <w:t>Artículo 1°. Objeto de la ley. La presente ley tiene por objeto:</w:t>
      </w:r>
    </w:p>
    <w:p w:rsidR="0010066B" w:rsidRDefault="00F432AA">
      <w:pPr>
        <w:numPr>
          <w:ilvl w:val="0"/>
          <w:numId w:val="1"/>
        </w:numPr>
        <w:tabs>
          <w:tab w:val="left" w:pos="284"/>
        </w:tabs>
        <w:spacing w:before="280" w:line="301" w:lineRule="auto"/>
        <w:jc w:val="both"/>
        <w:rPr>
          <w:rFonts w:ascii="Arial" w:eastAsia="Arial" w:hAnsi="Arial" w:cs="Arial"/>
          <w:i/>
          <w:sz w:val="22"/>
          <w:szCs w:val="22"/>
          <w:highlight w:val="white"/>
        </w:rPr>
      </w:pPr>
      <w:r>
        <w:rPr>
          <w:rFonts w:ascii="Arial" w:eastAsia="Arial" w:hAnsi="Arial" w:cs="Arial"/>
          <w:i/>
          <w:sz w:val="22"/>
          <w:szCs w:val="22"/>
          <w:highlight w:val="white"/>
        </w:rPr>
        <w:t xml:space="preserve">Promover el desarrollo integral de las micro, pequeñas y medianas empresas en consideración a sus aptitudes para la generación de empleo, el desarrollo regional, la integración entre sectores económicos, el aprovechamiento productivo de pequeños </w:t>
      </w:r>
      <w:r>
        <w:rPr>
          <w:rFonts w:ascii="Arial" w:eastAsia="Arial" w:hAnsi="Arial" w:cs="Arial"/>
          <w:i/>
          <w:sz w:val="22"/>
          <w:szCs w:val="22"/>
          <w:highlight w:val="white"/>
        </w:rPr>
        <w:tab/>
        <w:t>capitales y teniendo en cuenta la capacidad empresarial de los colombianos;</w:t>
      </w:r>
    </w:p>
    <w:p w:rsidR="0010066B" w:rsidRDefault="007959FF">
      <w:pPr>
        <w:numPr>
          <w:ilvl w:val="0"/>
          <w:numId w:val="1"/>
        </w:numPr>
        <w:tabs>
          <w:tab w:val="left" w:pos="284"/>
        </w:tabs>
        <w:spacing w:line="276" w:lineRule="auto"/>
        <w:jc w:val="both"/>
        <w:rPr>
          <w:rFonts w:ascii="Arial" w:eastAsia="Arial" w:hAnsi="Arial" w:cs="Arial"/>
          <w:i/>
          <w:sz w:val="22"/>
          <w:szCs w:val="22"/>
          <w:highlight w:val="white"/>
        </w:rPr>
      </w:pPr>
      <w:hyperlink r:id="rId12" w:anchor="1">
        <w:r w:rsidR="00F432AA">
          <w:rPr>
            <w:rFonts w:ascii="Arial" w:eastAsia="Arial" w:hAnsi="Arial" w:cs="Arial"/>
            <w:i/>
            <w:sz w:val="22"/>
            <w:szCs w:val="22"/>
            <w:highlight w:val="white"/>
          </w:rPr>
          <w:t>Modificado por el art. 1, Ley 905 de 2004</w:t>
        </w:r>
      </w:hyperlink>
      <w:r w:rsidR="00F432AA">
        <w:rPr>
          <w:rFonts w:ascii="Arial" w:eastAsia="Arial" w:hAnsi="Arial" w:cs="Arial"/>
          <w:i/>
          <w:sz w:val="22"/>
          <w:szCs w:val="22"/>
          <w:highlight w:val="white"/>
        </w:rPr>
        <w:t xml:space="preserve">, </w:t>
      </w:r>
      <w:hyperlink r:id="rId13" w:anchor="74">
        <w:r w:rsidR="00F432AA">
          <w:rPr>
            <w:rFonts w:ascii="Arial" w:eastAsia="Arial" w:hAnsi="Arial" w:cs="Arial"/>
            <w:i/>
            <w:sz w:val="22"/>
            <w:szCs w:val="22"/>
            <w:highlight w:val="white"/>
          </w:rPr>
          <w:t>Modificado por el art. 74, Ley 1151 de 2007</w:t>
        </w:r>
      </w:hyperlink>
      <w:r w:rsidR="00F432AA">
        <w:rPr>
          <w:rFonts w:ascii="Arial" w:eastAsia="Arial" w:hAnsi="Arial" w:cs="Arial"/>
          <w:i/>
          <w:sz w:val="22"/>
          <w:szCs w:val="22"/>
          <w:highlight w:val="white"/>
        </w:rPr>
        <w:t xml:space="preserve">.  </w:t>
      </w:r>
      <w:r w:rsidR="00F432AA">
        <w:rPr>
          <w:rFonts w:ascii="Arial" w:eastAsia="Arial" w:hAnsi="Arial" w:cs="Arial"/>
          <w:i/>
          <w:sz w:val="22"/>
          <w:szCs w:val="22"/>
          <w:highlight w:val="white"/>
        </w:rPr>
        <w:tab/>
        <w:t xml:space="preserve">Estimular la formación de mercados altamente competitivos mediante el fomento a la </w:t>
      </w:r>
      <w:r w:rsidR="00F432AA">
        <w:rPr>
          <w:rFonts w:ascii="Arial" w:eastAsia="Arial" w:hAnsi="Arial" w:cs="Arial"/>
          <w:i/>
          <w:sz w:val="22"/>
          <w:szCs w:val="22"/>
          <w:highlight w:val="white"/>
        </w:rPr>
        <w:tab/>
      </w:r>
      <w:r w:rsidR="00F432AA">
        <w:rPr>
          <w:rFonts w:ascii="Arial" w:eastAsia="Arial" w:hAnsi="Arial" w:cs="Arial"/>
          <w:i/>
          <w:sz w:val="22"/>
          <w:szCs w:val="22"/>
          <w:highlight w:val="white"/>
        </w:rPr>
        <w:tab/>
        <w:t xml:space="preserve">permanente creación y funcionamiento de la mayor cantidad de micro, pequeñas y medianas empresas, </w:t>
      </w:r>
      <w:proofErr w:type="spellStart"/>
      <w:r w:rsidR="00F432AA">
        <w:rPr>
          <w:rFonts w:ascii="Arial" w:eastAsia="Arial" w:hAnsi="Arial" w:cs="Arial"/>
          <w:i/>
          <w:sz w:val="22"/>
          <w:szCs w:val="22"/>
          <w:highlight w:val="white"/>
        </w:rPr>
        <w:t>Mipymes</w:t>
      </w:r>
      <w:proofErr w:type="spellEnd"/>
      <w:r w:rsidR="00F432AA">
        <w:rPr>
          <w:rFonts w:ascii="Arial" w:eastAsia="Arial" w:hAnsi="Arial" w:cs="Arial"/>
          <w:i/>
          <w:sz w:val="22"/>
          <w:szCs w:val="22"/>
          <w:highlight w:val="white"/>
        </w:rPr>
        <w:t>;</w:t>
      </w:r>
    </w:p>
    <w:p w:rsidR="0010066B" w:rsidRDefault="00F432AA">
      <w:pPr>
        <w:numPr>
          <w:ilvl w:val="0"/>
          <w:numId w:val="1"/>
        </w:numPr>
        <w:tabs>
          <w:tab w:val="left" w:pos="284"/>
        </w:tabs>
        <w:spacing w:line="276" w:lineRule="auto"/>
        <w:jc w:val="both"/>
        <w:rPr>
          <w:rFonts w:ascii="Arial" w:eastAsia="Arial" w:hAnsi="Arial" w:cs="Arial"/>
          <w:i/>
          <w:sz w:val="22"/>
          <w:szCs w:val="22"/>
          <w:highlight w:val="white"/>
        </w:rPr>
      </w:pPr>
      <w:r>
        <w:rPr>
          <w:rFonts w:ascii="Arial" w:eastAsia="Arial" w:hAnsi="Arial" w:cs="Arial"/>
          <w:i/>
          <w:sz w:val="22"/>
          <w:szCs w:val="22"/>
          <w:highlight w:val="white"/>
        </w:rPr>
        <w:t>Inducir el establecimiento de mejores condiciones de entorno institucional para la creación y operación de micro, pequeñas y medianas empresas;</w:t>
      </w:r>
    </w:p>
    <w:p w:rsidR="0010066B" w:rsidRDefault="00F432AA">
      <w:pPr>
        <w:numPr>
          <w:ilvl w:val="0"/>
          <w:numId w:val="1"/>
        </w:numPr>
        <w:tabs>
          <w:tab w:val="left" w:pos="284"/>
        </w:tabs>
        <w:spacing w:line="276" w:lineRule="auto"/>
        <w:jc w:val="both"/>
        <w:rPr>
          <w:rFonts w:ascii="Arial" w:eastAsia="Arial" w:hAnsi="Arial" w:cs="Arial"/>
          <w:i/>
          <w:sz w:val="22"/>
          <w:szCs w:val="22"/>
          <w:highlight w:val="white"/>
        </w:rPr>
      </w:pPr>
      <w:r>
        <w:rPr>
          <w:rFonts w:ascii="Arial" w:eastAsia="Arial" w:hAnsi="Arial" w:cs="Arial"/>
          <w:i/>
          <w:sz w:val="22"/>
          <w:szCs w:val="22"/>
          <w:highlight w:val="white"/>
        </w:rPr>
        <w:t xml:space="preserve">Promover una más favorable dotación de factores para las micro, pequeñas y medianas </w:t>
      </w:r>
      <w:r>
        <w:rPr>
          <w:rFonts w:ascii="Arial" w:eastAsia="Arial" w:hAnsi="Arial" w:cs="Arial"/>
          <w:i/>
          <w:sz w:val="22"/>
          <w:szCs w:val="22"/>
          <w:highlight w:val="white"/>
        </w:rPr>
        <w:tab/>
        <w:t xml:space="preserve">empresas, facilitando el acceso a mercados de bienes y servicios, tanto para la adquisición </w:t>
      </w:r>
      <w:r>
        <w:rPr>
          <w:rFonts w:ascii="Arial" w:eastAsia="Arial" w:hAnsi="Arial" w:cs="Arial"/>
          <w:i/>
          <w:sz w:val="22"/>
          <w:szCs w:val="22"/>
          <w:highlight w:val="white"/>
        </w:rPr>
        <w:tab/>
        <w:t xml:space="preserve">de materias primas, insumos, bienes de capital y equipos, como para la realización de sus </w:t>
      </w:r>
      <w:r>
        <w:rPr>
          <w:rFonts w:ascii="Arial" w:eastAsia="Arial" w:hAnsi="Arial" w:cs="Arial"/>
          <w:i/>
          <w:sz w:val="22"/>
          <w:szCs w:val="22"/>
          <w:highlight w:val="white"/>
        </w:rPr>
        <w:tab/>
        <w:t>productos y servicios a nivel nacional e internacional, la formación de capital humano, la asistencia para el desarrollo tecnológico y el acceso a los mercados financieros institucionales;</w:t>
      </w:r>
    </w:p>
    <w:p w:rsidR="0010066B" w:rsidRDefault="007959FF">
      <w:pPr>
        <w:numPr>
          <w:ilvl w:val="0"/>
          <w:numId w:val="1"/>
        </w:numPr>
        <w:tabs>
          <w:tab w:val="left" w:pos="284"/>
        </w:tabs>
        <w:spacing w:line="276" w:lineRule="auto"/>
        <w:jc w:val="both"/>
        <w:rPr>
          <w:rFonts w:ascii="Arial" w:eastAsia="Arial" w:hAnsi="Arial" w:cs="Arial"/>
          <w:i/>
          <w:sz w:val="22"/>
          <w:szCs w:val="22"/>
          <w:highlight w:val="white"/>
        </w:rPr>
      </w:pPr>
      <w:hyperlink r:id="rId14" w:anchor="74">
        <w:r w:rsidR="00F432AA">
          <w:rPr>
            <w:rFonts w:ascii="Arial" w:eastAsia="Arial" w:hAnsi="Arial" w:cs="Arial"/>
            <w:i/>
            <w:sz w:val="22"/>
            <w:szCs w:val="22"/>
            <w:highlight w:val="white"/>
          </w:rPr>
          <w:t>Modificado por el art. 74, Ley 1151 de 2007</w:t>
        </w:r>
      </w:hyperlink>
      <w:r w:rsidR="00F432AA">
        <w:rPr>
          <w:rFonts w:ascii="Arial" w:eastAsia="Arial" w:hAnsi="Arial" w:cs="Arial"/>
          <w:i/>
          <w:sz w:val="22"/>
          <w:szCs w:val="22"/>
          <w:highlight w:val="white"/>
        </w:rPr>
        <w:t>. Promover la permanente formulación, ejecución y evaluación de políticas públicas favorables al desarrollo y a la competitividad de las micro, pequeñas y medianas empresas;</w:t>
      </w:r>
    </w:p>
    <w:p w:rsidR="0010066B" w:rsidRDefault="00F432AA">
      <w:pPr>
        <w:numPr>
          <w:ilvl w:val="0"/>
          <w:numId w:val="1"/>
        </w:numPr>
        <w:tabs>
          <w:tab w:val="left" w:pos="284"/>
        </w:tabs>
        <w:spacing w:line="276" w:lineRule="auto"/>
        <w:jc w:val="both"/>
        <w:rPr>
          <w:rFonts w:ascii="Arial" w:eastAsia="Arial" w:hAnsi="Arial" w:cs="Arial"/>
          <w:i/>
          <w:sz w:val="22"/>
          <w:szCs w:val="22"/>
          <w:highlight w:val="white"/>
        </w:rPr>
      </w:pPr>
      <w:r>
        <w:rPr>
          <w:rFonts w:ascii="Arial" w:eastAsia="Arial" w:hAnsi="Arial" w:cs="Arial"/>
          <w:i/>
          <w:sz w:val="22"/>
          <w:szCs w:val="22"/>
          <w:highlight w:val="white"/>
        </w:rPr>
        <w:t>Señalar criterios que orienten la acción del Estado y fortalezcan la coordinación entre sus organismos; así como entre estos y el sector privado, en la promoción del desarrollo de las micro, pequeñas y medianas empresas;</w:t>
      </w:r>
    </w:p>
    <w:p w:rsidR="0010066B" w:rsidRDefault="00F432AA">
      <w:pPr>
        <w:numPr>
          <w:ilvl w:val="0"/>
          <w:numId w:val="1"/>
        </w:numPr>
        <w:tabs>
          <w:tab w:val="left" w:pos="284"/>
        </w:tabs>
        <w:spacing w:line="276" w:lineRule="auto"/>
        <w:jc w:val="both"/>
        <w:rPr>
          <w:rFonts w:ascii="Arial" w:eastAsia="Arial" w:hAnsi="Arial" w:cs="Arial"/>
          <w:i/>
          <w:sz w:val="22"/>
          <w:szCs w:val="22"/>
          <w:highlight w:val="white"/>
        </w:rPr>
      </w:pPr>
      <w:r>
        <w:rPr>
          <w:rFonts w:ascii="Arial" w:eastAsia="Arial" w:hAnsi="Arial" w:cs="Arial"/>
          <w:i/>
          <w:sz w:val="22"/>
          <w:szCs w:val="22"/>
          <w:highlight w:val="white"/>
        </w:rPr>
        <w:t>Coadyuvar en el desarrollo de las organizaciones empresariales, en la generación de esquemas de asociatividad empresarial y en alianzas estratégicas entre las entidades públicas y privadas de apoyo a las micro, pequeñas y medianas empresas;</w:t>
      </w:r>
    </w:p>
    <w:p w:rsidR="0010066B" w:rsidRDefault="00F432AA">
      <w:pPr>
        <w:numPr>
          <w:ilvl w:val="0"/>
          <w:numId w:val="1"/>
        </w:numPr>
        <w:tabs>
          <w:tab w:val="left" w:pos="284"/>
        </w:tabs>
        <w:spacing w:line="276" w:lineRule="auto"/>
        <w:jc w:val="both"/>
        <w:rPr>
          <w:rFonts w:ascii="Arial" w:eastAsia="Arial" w:hAnsi="Arial" w:cs="Arial"/>
          <w:i/>
          <w:sz w:val="22"/>
          <w:szCs w:val="22"/>
          <w:highlight w:val="white"/>
        </w:rPr>
      </w:pPr>
      <w:r>
        <w:rPr>
          <w:rFonts w:ascii="Arial" w:eastAsia="Arial" w:hAnsi="Arial" w:cs="Arial"/>
          <w:i/>
          <w:sz w:val="22"/>
          <w:szCs w:val="22"/>
          <w:highlight w:val="white"/>
        </w:rPr>
        <w:t xml:space="preserve">Apoyar a los micro, pequeños y medianos productores asentados en áreas de economía campesina, estimulando la creación y fortalecimiento de </w:t>
      </w:r>
      <w:proofErr w:type="spellStart"/>
      <w:r>
        <w:rPr>
          <w:rFonts w:ascii="Arial" w:eastAsia="Arial" w:hAnsi="Arial" w:cs="Arial"/>
          <w:i/>
          <w:sz w:val="22"/>
          <w:szCs w:val="22"/>
          <w:highlight w:val="white"/>
        </w:rPr>
        <w:t>Mipymes</w:t>
      </w:r>
      <w:proofErr w:type="spellEnd"/>
      <w:r>
        <w:rPr>
          <w:rFonts w:ascii="Arial" w:eastAsia="Arial" w:hAnsi="Arial" w:cs="Arial"/>
          <w:i/>
          <w:sz w:val="22"/>
          <w:szCs w:val="22"/>
          <w:highlight w:val="white"/>
        </w:rPr>
        <w:t xml:space="preserve"> rurales,</w:t>
      </w:r>
    </w:p>
    <w:p w:rsidR="0010066B" w:rsidRDefault="00F432AA">
      <w:pPr>
        <w:numPr>
          <w:ilvl w:val="0"/>
          <w:numId w:val="1"/>
        </w:numPr>
        <w:tabs>
          <w:tab w:val="left" w:pos="284"/>
        </w:tabs>
        <w:spacing w:line="276" w:lineRule="auto"/>
        <w:jc w:val="both"/>
        <w:rPr>
          <w:rFonts w:ascii="Arial" w:eastAsia="Arial" w:hAnsi="Arial" w:cs="Arial"/>
          <w:i/>
          <w:sz w:val="22"/>
          <w:szCs w:val="22"/>
          <w:highlight w:val="white"/>
        </w:rPr>
      </w:pPr>
      <w:r>
        <w:rPr>
          <w:rFonts w:ascii="Arial" w:eastAsia="Arial" w:hAnsi="Arial" w:cs="Arial"/>
          <w:i/>
          <w:sz w:val="22"/>
          <w:szCs w:val="22"/>
          <w:highlight w:val="white"/>
        </w:rPr>
        <w:t xml:space="preserve">Asegurar la eficacia del derecho a la libre y leal competencia para las </w:t>
      </w:r>
      <w:proofErr w:type="spellStart"/>
      <w:r>
        <w:rPr>
          <w:rFonts w:ascii="Arial" w:eastAsia="Arial" w:hAnsi="Arial" w:cs="Arial"/>
          <w:i/>
          <w:sz w:val="22"/>
          <w:szCs w:val="22"/>
          <w:highlight w:val="white"/>
        </w:rPr>
        <w:t>Mipymes</w:t>
      </w:r>
      <w:proofErr w:type="spellEnd"/>
      <w:r>
        <w:rPr>
          <w:rFonts w:ascii="Arial" w:eastAsia="Arial" w:hAnsi="Arial" w:cs="Arial"/>
          <w:i/>
          <w:sz w:val="22"/>
          <w:szCs w:val="22"/>
          <w:highlight w:val="white"/>
        </w:rPr>
        <w:t>;</w:t>
      </w:r>
    </w:p>
    <w:p w:rsidR="0010066B" w:rsidRDefault="00F432AA">
      <w:pPr>
        <w:numPr>
          <w:ilvl w:val="0"/>
          <w:numId w:val="1"/>
        </w:numPr>
        <w:tabs>
          <w:tab w:val="left" w:pos="284"/>
        </w:tabs>
        <w:spacing w:after="280" w:line="276" w:lineRule="auto"/>
        <w:jc w:val="both"/>
        <w:rPr>
          <w:rFonts w:ascii="Arial" w:eastAsia="Arial" w:hAnsi="Arial" w:cs="Arial"/>
          <w:i/>
          <w:sz w:val="22"/>
          <w:szCs w:val="22"/>
          <w:highlight w:val="white"/>
        </w:rPr>
      </w:pPr>
      <w:r>
        <w:rPr>
          <w:rFonts w:ascii="Arial" w:eastAsia="Arial" w:hAnsi="Arial" w:cs="Arial"/>
          <w:i/>
          <w:sz w:val="22"/>
          <w:szCs w:val="22"/>
          <w:highlight w:val="white"/>
        </w:rPr>
        <w:t xml:space="preserve">Crear las bases de un sistema de incentivos a la capitalización de las micro, pequeñas y </w:t>
      </w:r>
      <w:r>
        <w:rPr>
          <w:rFonts w:ascii="Arial" w:eastAsia="Arial" w:hAnsi="Arial" w:cs="Arial"/>
          <w:i/>
          <w:sz w:val="22"/>
          <w:szCs w:val="22"/>
          <w:highlight w:val="white"/>
        </w:rPr>
        <w:tab/>
        <w:t>medianas empresas.</w:t>
      </w:r>
    </w:p>
    <w:p w:rsidR="0010066B" w:rsidRDefault="00F432AA">
      <w:pPr>
        <w:tabs>
          <w:tab w:val="left" w:pos="284"/>
        </w:tabs>
        <w:spacing w:after="120" w:line="276" w:lineRule="auto"/>
        <w:jc w:val="both"/>
        <w:rPr>
          <w:rFonts w:ascii="Arial" w:eastAsia="Arial" w:hAnsi="Arial" w:cs="Arial"/>
          <w:i/>
          <w:sz w:val="22"/>
          <w:szCs w:val="22"/>
          <w:highlight w:val="white"/>
        </w:rPr>
      </w:pPr>
      <w:r>
        <w:rPr>
          <w:rFonts w:ascii="Arial" w:eastAsia="Arial" w:hAnsi="Arial" w:cs="Arial"/>
          <w:b/>
          <w:i/>
          <w:sz w:val="22"/>
          <w:szCs w:val="22"/>
          <w:highlight w:val="white"/>
        </w:rPr>
        <w:t>LEY 1014 DE 2006 “</w:t>
      </w:r>
      <w:r>
        <w:rPr>
          <w:rFonts w:ascii="Arial" w:eastAsia="Arial" w:hAnsi="Arial" w:cs="Arial"/>
          <w:i/>
          <w:sz w:val="22"/>
          <w:szCs w:val="22"/>
          <w:highlight w:val="white"/>
        </w:rPr>
        <w:t xml:space="preserve">De fomento a la cultura del emprendimiento”. </w:t>
      </w:r>
    </w:p>
    <w:p w:rsidR="0010066B" w:rsidRDefault="00F432AA">
      <w:pPr>
        <w:tabs>
          <w:tab w:val="left" w:pos="284"/>
        </w:tabs>
        <w:spacing w:after="120" w:line="276" w:lineRule="auto"/>
        <w:jc w:val="both"/>
        <w:rPr>
          <w:rFonts w:ascii="Arial" w:eastAsia="Arial" w:hAnsi="Arial" w:cs="Arial"/>
          <w:i/>
          <w:sz w:val="22"/>
          <w:szCs w:val="22"/>
          <w:highlight w:val="white"/>
        </w:rPr>
      </w:pPr>
      <w:r>
        <w:rPr>
          <w:rFonts w:ascii="Arial" w:eastAsia="Arial" w:hAnsi="Arial" w:cs="Arial"/>
          <w:b/>
          <w:i/>
          <w:sz w:val="22"/>
          <w:szCs w:val="22"/>
          <w:highlight w:val="white"/>
        </w:rPr>
        <w:tab/>
        <w:t>Artículo 2°. Objeto.</w:t>
      </w:r>
      <w:r>
        <w:rPr>
          <w:rFonts w:ascii="Arial" w:eastAsia="Arial" w:hAnsi="Arial" w:cs="Arial"/>
          <w:i/>
          <w:sz w:val="22"/>
          <w:szCs w:val="22"/>
          <w:highlight w:val="white"/>
        </w:rPr>
        <w:t xml:space="preserve"> La presente ley tiene por objeto:</w:t>
      </w:r>
    </w:p>
    <w:p w:rsidR="0010066B" w:rsidRDefault="00F432AA">
      <w:pPr>
        <w:tabs>
          <w:tab w:val="left" w:pos="284"/>
        </w:tabs>
        <w:spacing w:after="120" w:line="276" w:lineRule="auto"/>
        <w:jc w:val="both"/>
        <w:rPr>
          <w:rFonts w:ascii="Arial" w:eastAsia="Arial" w:hAnsi="Arial" w:cs="Arial"/>
          <w:i/>
          <w:sz w:val="22"/>
          <w:szCs w:val="22"/>
          <w:highlight w:val="white"/>
        </w:rPr>
      </w:pPr>
      <w:r>
        <w:rPr>
          <w:rFonts w:ascii="Arial" w:eastAsia="Arial" w:hAnsi="Arial" w:cs="Arial"/>
          <w:i/>
          <w:sz w:val="22"/>
          <w:szCs w:val="22"/>
          <w:highlight w:val="white"/>
        </w:rPr>
        <w:tab/>
        <w:t xml:space="preserve">a) Promover el espíritu emprendedor en todos los estamentos educativos del país, en </w:t>
      </w:r>
      <w:r>
        <w:rPr>
          <w:rFonts w:ascii="Arial" w:eastAsia="Arial" w:hAnsi="Arial" w:cs="Arial"/>
          <w:i/>
          <w:sz w:val="22"/>
          <w:szCs w:val="22"/>
          <w:highlight w:val="white"/>
        </w:rPr>
        <w:tab/>
        <w:t xml:space="preserve">el cual se propenda y trabaje conjuntamente sobre los principios y valores que </w:t>
      </w:r>
      <w:r>
        <w:rPr>
          <w:rFonts w:ascii="Arial" w:eastAsia="Arial" w:hAnsi="Arial" w:cs="Arial"/>
          <w:i/>
          <w:sz w:val="22"/>
          <w:szCs w:val="22"/>
          <w:highlight w:val="white"/>
        </w:rPr>
        <w:tab/>
      </w:r>
      <w:r>
        <w:rPr>
          <w:rFonts w:ascii="Arial" w:eastAsia="Arial" w:hAnsi="Arial" w:cs="Arial"/>
          <w:i/>
          <w:sz w:val="22"/>
          <w:szCs w:val="22"/>
          <w:highlight w:val="white"/>
        </w:rPr>
        <w:tab/>
        <w:t>establece la Constitución y los establecidos en la presente ley;</w:t>
      </w:r>
    </w:p>
    <w:p w:rsidR="0010066B" w:rsidRDefault="00F432AA">
      <w:pPr>
        <w:tabs>
          <w:tab w:val="left" w:pos="284"/>
        </w:tabs>
        <w:spacing w:before="280" w:after="280" w:line="276" w:lineRule="auto"/>
        <w:ind w:left="720"/>
        <w:jc w:val="both"/>
        <w:rPr>
          <w:rFonts w:ascii="Arial" w:eastAsia="Arial" w:hAnsi="Arial" w:cs="Arial"/>
          <w:i/>
          <w:sz w:val="22"/>
          <w:szCs w:val="22"/>
          <w:highlight w:val="white"/>
        </w:rPr>
      </w:pPr>
      <w:r>
        <w:rPr>
          <w:rFonts w:ascii="Arial" w:eastAsia="Arial" w:hAnsi="Arial" w:cs="Arial"/>
          <w:i/>
          <w:sz w:val="22"/>
          <w:szCs w:val="22"/>
          <w:highlight w:val="white"/>
        </w:rPr>
        <w:t>b) Disponer de un conjunto de principios normativos que sienten las bases para una política de Estado y un marco jurídico e institucional, que promuevan el emprendimiento y la creación de empresas; (...)</w:t>
      </w:r>
    </w:p>
    <w:p w:rsidR="0010066B" w:rsidRDefault="00F432AA">
      <w:pPr>
        <w:tabs>
          <w:tab w:val="left" w:pos="284"/>
        </w:tabs>
        <w:spacing w:before="280" w:after="280" w:line="276" w:lineRule="auto"/>
        <w:ind w:left="720"/>
        <w:jc w:val="both"/>
        <w:rPr>
          <w:rFonts w:ascii="Arial" w:eastAsia="Arial" w:hAnsi="Arial" w:cs="Arial"/>
          <w:i/>
          <w:sz w:val="22"/>
          <w:szCs w:val="22"/>
          <w:highlight w:val="white"/>
        </w:rPr>
      </w:pPr>
      <w:r>
        <w:rPr>
          <w:rFonts w:ascii="Arial" w:eastAsia="Arial" w:hAnsi="Arial" w:cs="Arial"/>
          <w:i/>
          <w:sz w:val="22"/>
          <w:szCs w:val="22"/>
          <w:highlight w:val="white"/>
        </w:rPr>
        <w:t>d) Establecer mecanismos para el desarrollo de la cultura empresarial y el emprendimiento a través del fortalecimiento de un sistema público y la creación de una red de instrumentos de fomento productivo.</w:t>
      </w:r>
    </w:p>
    <w:p w:rsidR="0010066B" w:rsidRDefault="00F432AA">
      <w:pPr>
        <w:tabs>
          <w:tab w:val="left" w:pos="284"/>
        </w:tabs>
        <w:spacing w:after="160" w:line="276" w:lineRule="auto"/>
        <w:jc w:val="both"/>
        <w:rPr>
          <w:rFonts w:ascii="Arial" w:eastAsia="Arial" w:hAnsi="Arial" w:cs="Arial"/>
          <w:i/>
          <w:sz w:val="22"/>
          <w:szCs w:val="22"/>
          <w:highlight w:val="white"/>
        </w:rPr>
      </w:pPr>
      <w:r>
        <w:rPr>
          <w:rFonts w:ascii="Arial" w:eastAsia="Arial" w:hAnsi="Arial" w:cs="Arial"/>
          <w:b/>
          <w:sz w:val="22"/>
          <w:szCs w:val="22"/>
          <w:highlight w:val="white"/>
        </w:rPr>
        <w:t xml:space="preserve">LEY 2069 DE 2020: </w:t>
      </w:r>
      <w:r>
        <w:rPr>
          <w:rFonts w:ascii="Arial" w:eastAsia="Arial" w:hAnsi="Arial" w:cs="Arial"/>
          <w:b/>
          <w:i/>
          <w:sz w:val="22"/>
          <w:szCs w:val="22"/>
          <w:highlight w:val="white"/>
        </w:rPr>
        <w:t>“</w:t>
      </w:r>
      <w:r>
        <w:rPr>
          <w:rFonts w:ascii="Arial" w:eastAsia="Arial" w:hAnsi="Arial" w:cs="Arial"/>
          <w:i/>
          <w:sz w:val="22"/>
          <w:szCs w:val="22"/>
          <w:highlight w:val="white"/>
        </w:rPr>
        <w:t xml:space="preserve">Por medio de la cual se impulsa el emprendimiento en </w:t>
      </w:r>
      <w:r>
        <w:rPr>
          <w:rFonts w:ascii="Arial" w:eastAsia="Arial" w:hAnsi="Arial" w:cs="Arial"/>
          <w:i/>
          <w:sz w:val="22"/>
          <w:szCs w:val="22"/>
          <w:highlight w:val="white"/>
        </w:rPr>
        <w:tab/>
      </w:r>
      <w:r>
        <w:rPr>
          <w:rFonts w:ascii="Arial" w:eastAsia="Arial" w:hAnsi="Arial" w:cs="Arial"/>
          <w:i/>
          <w:sz w:val="22"/>
          <w:szCs w:val="22"/>
          <w:highlight w:val="white"/>
        </w:rPr>
        <w:tab/>
        <w:t>Colombia.”</w:t>
      </w:r>
    </w:p>
    <w:p w:rsidR="0010066B" w:rsidRDefault="00F432AA">
      <w:pPr>
        <w:tabs>
          <w:tab w:val="left" w:pos="284"/>
        </w:tabs>
        <w:spacing w:after="160" w:line="276" w:lineRule="auto"/>
        <w:ind w:left="720"/>
        <w:jc w:val="both"/>
        <w:rPr>
          <w:rFonts w:ascii="Arial" w:eastAsia="Arial" w:hAnsi="Arial" w:cs="Arial"/>
          <w:i/>
          <w:sz w:val="22"/>
          <w:szCs w:val="22"/>
          <w:highlight w:val="white"/>
        </w:rPr>
      </w:pPr>
      <w:r>
        <w:rPr>
          <w:rFonts w:ascii="Arial" w:eastAsia="Arial" w:hAnsi="Arial" w:cs="Arial"/>
          <w:b/>
          <w:i/>
          <w:sz w:val="22"/>
          <w:szCs w:val="22"/>
          <w:highlight w:val="white"/>
        </w:rPr>
        <w:t>Artículo 1°. Objeto.</w:t>
      </w:r>
      <w:r>
        <w:rPr>
          <w:rFonts w:ascii="Arial" w:eastAsia="Arial" w:hAnsi="Arial" w:cs="Arial"/>
          <w:i/>
          <w:sz w:val="22"/>
          <w:szCs w:val="22"/>
          <w:highlight w:val="white"/>
        </w:rPr>
        <w:t xml:space="preserve"> La presente Ley tiene por objeto </w:t>
      </w:r>
      <w:r>
        <w:rPr>
          <w:rFonts w:ascii="Arial" w:eastAsia="Arial" w:hAnsi="Arial" w:cs="Arial"/>
          <w:i/>
          <w:sz w:val="22"/>
          <w:szCs w:val="22"/>
          <w:highlight w:val="white"/>
          <w:u w:val="single"/>
        </w:rPr>
        <w:t xml:space="preserve">establecer un marco regulatorio </w:t>
      </w:r>
      <w:r>
        <w:rPr>
          <w:rFonts w:ascii="Arial" w:eastAsia="Arial" w:hAnsi="Arial" w:cs="Arial"/>
          <w:i/>
          <w:sz w:val="22"/>
          <w:szCs w:val="22"/>
          <w:highlight w:val="white"/>
        </w:rPr>
        <w:tab/>
      </w:r>
      <w:r>
        <w:rPr>
          <w:rFonts w:ascii="Arial" w:eastAsia="Arial" w:hAnsi="Arial" w:cs="Arial"/>
          <w:i/>
          <w:sz w:val="22"/>
          <w:szCs w:val="22"/>
          <w:highlight w:val="white"/>
          <w:u w:val="single"/>
        </w:rPr>
        <w:t xml:space="preserve">que propicie el emprendimiento y el crecimiento, consolidación y sostenibilidad de las </w:t>
      </w:r>
      <w:r>
        <w:rPr>
          <w:rFonts w:ascii="Arial" w:eastAsia="Arial" w:hAnsi="Arial" w:cs="Arial"/>
          <w:i/>
          <w:sz w:val="22"/>
          <w:szCs w:val="22"/>
          <w:highlight w:val="white"/>
        </w:rPr>
        <w:tab/>
      </w:r>
      <w:r>
        <w:rPr>
          <w:rFonts w:ascii="Arial" w:eastAsia="Arial" w:hAnsi="Arial" w:cs="Arial"/>
          <w:i/>
          <w:sz w:val="22"/>
          <w:szCs w:val="22"/>
          <w:highlight w:val="white"/>
          <w:u w:val="single"/>
        </w:rPr>
        <w:t>empresas</w:t>
      </w:r>
      <w:r>
        <w:rPr>
          <w:rFonts w:ascii="Arial" w:eastAsia="Arial" w:hAnsi="Arial" w:cs="Arial"/>
          <w:i/>
          <w:sz w:val="22"/>
          <w:szCs w:val="22"/>
          <w:highlight w:val="white"/>
        </w:rPr>
        <w:t>, con el fin de aumentar el bienestar social y generar equidad.</w:t>
      </w:r>
    </w:p>
    <w:p w:rsidR="0010066B" w:rsidRDefault="00F432AA">
      <w:pPr>
        <w:tabs>
          <w:tab w:val="left" w:pos="284"/>
        </w:tabs>
        <w:spacing w:before="180" w:after="180" w:line="276" w:lineRule="auto"/>
        <w:ind w:left="720"/>
        <w:jc w:val="both"/>
        <w:rPr>
          <w:rFonts w:ascii="Arial" w:eastAsia="Arial" w:hAnsi="Arial" w:cs="Arial"/>
          <w:i/>
          <w:sz w:val="22"/>
          <w:szCs w:val="22"/>
          <w:highlight w:val="white"/>
        </w:rPr>
      </w:pPr>
      <w:r>
        <w:rPr>
          <w:rFonts w:ascii="Arial" w:eastAsia="Arial" w:hAnsi="Arial" w:cs="Arial"/>
          <w:i/>
          <w:sz w:val="22"/>
          <w:szCs w:val="22"/>
          <w:highlight w:val="white"/>
        </w:rPr>
        <w:t>Dicho marco delineará un enfoque regionalizado de acuerdo con las realidades socioeconómicos de cada región.</w:t>
      </w:r>
    </w:p>
    <w:p w:rsidR="0010066B" w:rsidRDefault="0010066B">
      <w:pPr>
        <w:tabs>
          <w:tab w:val="left" w:pos="284"/>
        </w:tabs>
        <w:spacing w:before="180" w:after="180" w:line="276" w:lineRule="auto"/>
        <w:ind w:left="720"/>
        <w:jc w:val="both"/>
        <w:rPr>
          <w:rFonts w:ascii="Arial" w:eastAsia="Arial" w:hAnsi="Arial" w:cs="Arial"/>
          <w:i/>
          <w:sz w:val="22"/>
          <w:szCs w:val="22"/>
          <w:highlight w:val="white"/>
        </w:rPr>
      </w:pPr>
    </w:p>
    <w:p w:rsidR="0010066B" w:rsidRDefault="00F432AA">
      <w:pPr>
        <w:tabs>
          <w:tab w:val="left" w:pos="284"/>
        </w:tabs>
        <w:spacing w:before="180" w:after="180" w:line="360" w:lineRule="auto"/>
        <w:jc w:val="both"/>
        <w:rPr>
          <w:rFonts w:ascii="Arial" w:eastAsia="Arial" w:hAnsi="Arial" w:cs="Arial"/>
          <w:b/>
          <w:sz w:val="22"/>
          <w:szCs w:val="22"/>
          <w:highlight w:val="white"/>
        </w:rPr>
      </w:pPr>
      <w:r>
        <w:rPr>
          <w:rFonts w:ascii="Arial" w:eastAsia="Arial" w:hAnsi="Arial" w:cs="Arial"/>
          <w:b/>
          <w:sz w:val="22"/>
          <w:szCs w:val="22"/>
          <w:highlight w:val="white"/>
        </w:rPr>
        <w:t>DOCUMENTOS CONPES:</w:t>
      </w:r>
    </w:p>
    <w:p w:rsidR="0010066B" w:rsidRDefault="00F432AA">
      <w:pPr>
        <w:tabs>
          <w:tab w:val="left" w:pos="284"/>
        </w:tabs>
        <w:spacing w:before="180" w:after="180" w:line="360" w:lineRule="auto"/>
        <w:jc w:val="both"/>
        <w:rPr>
          <w:rFonts w:ascii="Arial" w:eastAsia="Arial" w:hAnsi="Arial" w:cs="Arial"/>
          <w:sz w:val="22"/>
          <w:szCs w:val="22"/>
        </w:rPr>
      </w:pPr>
      <w:r>
        <w:rPr>
          <w:rFonts w:ascii="Arial" w:eastAsia="Arial" w:hAnsi="Arial" w:cs="Arial"/>
          <w:b/>
          <w:sz w:val="22"/>
          <w:szCs w:val="22"/>
        </w:rPr>
        <w:t>CONPES 4011 de 2020:</w:t>
      </w:r>
      <w:r>
        <w:rPr>
          <w:rFonts w:ascii="Arial" w:eastAsia="Arial" w:hAnsi="Arial" w:cs="Arial"/>
          <w:sz w:val="22"/>
          <w:szCs w:val="22"/>
        </w:rPr>
        <w:t xml:space="preserve"> Política Nacional de Emprendimiento. Mediante este documento CONPES se busca aunar esfuerzos para crear una política pública que conecte la política social para la generación de ingresos con la política de desarrollo empresarial para la generación de riqueza, con el fin de reactivar el crecimiento económico y aumentar la productividad del país. </w:t>
      </w:r>
    </w:p>
    <w:p w:rsidR="0010066B" w:rsidRDefault="00F432AA">
      <w:pPr>
        <w:widowControl w:val="0"/>
        <w:tabs>
          <w:tab w:val="left" w:pos="284"/>
        </w:tabs>
        <w:spacing w:before="240" w:after="240" w:line="360" w:lineRule="auto"/>
        <w:jc w:val="both"/>
        <w:rPr>
          <w:rFonts w:ascii="Arial" w:eastAsia="Arial" w:hAnsi="Arial" w:cs="Arial"/>
          <w:sz w:val="22"/>
          <w:szCs w:val="22"/>
        </w:rPr>
      </w:pPr>
      <w:r>
        <w:rPr>
          <w:rFonts w:ascii="Arial" w:eastAsia="Arial" w:hAnsi="Arial" w:cs="Arial"/>
          <w:b/>
          <w:sz w:val="22"/>
          <w:szCs w:val="22"/>
        </w:rPr>
        <w:t>CONPES D.C. 25 de 2023:</w:t>
      </w:r>
      <w:r>
        <w:rPr>
          <w:rFonts w:ascii="Arial" w:eastAsia="Arial" w:hAnsi="Arial" w:cs="Arial"/>
          <w:sz w:val="22"/>
          <w:szCs w:val="22"/>
        </w:rPr>
        <w:t xml:space="preserve"> “Política Pública de productividad, competitividad y desarrollo socioeconómico”. Mediante este documento CONPES D.C., se busca promover el aumento de la productividad de las unidades productivas por medio de la potencialización y aprovechamiento de los beneficios de las aglomeraciones económicas, de manera que se amplíe la generación de empleo y de ingresos para las personas y, en ese sentido, el desarrollo económico de los ciudadanos.</w:t>
      </w:r>
    </w:p>
    <w:p w:rsidR="0010066B" w:rsidRDefault="00F432AA">
      <w:pPr>
        <w:numPr>
          <w:ilvl w:val="0"/>
          <w:numId w:val="2"/>
        </w:numPr>
        <w:pBdr>
          <w:top w:val="nil"/>
          <w:left w:val="nil"/>
          <w:bottom w:val="nil"/>
          <w:right w:val="nil"/>
          <w:between w:val="nil"/>
        </w:pBdr>
        <w:tabs>
          <w:tab w:val="left" w:pos="284"/>
        </w:tabs>
        <w:spacing w:before="280" w:after="280" w:line="276" w:lineRule="auto"/>
        <w:jc w:val="both"/>
        <w:rPr>
          <w:rFonts w:ascii="Arial" w:eastAsia="Arial" w:hAnsi="Arial" w:cs="Arial"/>
          <w:sz w:val="22"/>
          <w:szCs w:val="22"/>
        </w:rPr>
      </w:pPr>
      <w:r>
        <w:rPr>
          <w:rFonts w:ascii="Arial" w:eastAsia="Arial" w:hAnsi="Arial" w:cs="Arial"/>
          <w:b/>
          <w:sz w:val="22"/>
          <w:szCs w:val="22"/>
        </w:rPr>
        <w:t>COMPETENCIA DEL CONCEJO DE BOGOTÁ</w:t>
      </w:r>
    </w:p>
    <w:p w:rsidR="0010066B" w:rsidRDefault="00F432AA">
      <w:pPr>
        <w:tabs>
          <w:tab w:val="left" w:pos="284"/>
        </w:tabs>
        <w:spacing w:line="276" w:lineRule="auto"/>
        <w:jc w:val="both"/>
        <w:rPr>
          <w:rFonts w:ascii="Arial" w:eastAsia="Arial" w:hAnsi="Arial" w:cs="Arial"/>
          <w:sz w:val="22"/>
          <w:szCs w:val="22"/>
        </w:rPr>
      </w:pPr>
      <w:r>
        <w:rPr>
          <w:rFonts w:ascii="Arial" w:eastAsia="Arial" w:hAnsi="Arial" w:cs="Arial"/>
          <w:sz w:val="22"/>
          <w:szCs w:val="22"/>
        </w:rPr>
        <w:t xml:space="preserve">El Cabildo Distrital es competente para estudiar la presente iniciativa con base en las normas que a continuación se citan: </w:t>
      </w:r>
    </w:p>
    <w:p w:rsidR="0010066B" w:rsidRDefault="00F432AA">
      <w:pPr>
        <w:tabs>
          <w:tab w:val="left" w:pos="284"/>
        </w:tabs>
        <w:spacing w:line="276" w:lineRule="auto"/>
        <w:jc w:val="both"/>
        <w:rPr>
          <w:rFonts w:ascii="Arial" w:eastAsia="Arial" w:hAnsi="Arial" w:cs="Arial"/>
          <w:b/>
          <w:sz w:val="22"/>
          <w:szCs w:val="22"/>
        </w:rPr>
      </w:pPr>
      <w:r>
        <w:rPr>
          <w:rFonts w:ascii="Arial" w:eastAsia="Arial" w:hAnsi="Arial" w:cs="Arial"/>
          <w:b/>
          <w:sz w:val="22"/>
          <w:szCs w:val="22"/>
        </w:rPr>
        <w:t xml:space="preserve"> </w:t>
      </w:r>
    </w:p>
    <w:p w:rsidR="0010066B" w:rsidRDefault="00F432AA">
      <w:pPr>
        <w:tabs>
          <w:tab w:val="left" w:pos="284"/>
        </w:tabs>
        <w:jc w:val="both"/>
        <w:rPr>
          <w:rFonts w:ascii="Arial" w:eastAsia="Arial" w:hAnsi="Arial" w:cs="Arial"/>
          <w:b/>
          <w:sz w:val="22"/>
          <w:szCs w:val="22"/>
        </w:rPr>
      </w:pPr>
      <w:r>
        <w:rPr>
          <w:rFonts w:ascii="Arial" w:eastAsia="Arial" w:hAnsi="Arial" w:cs="Arial"/>
          <w:b/>
          <w:sz w:val="22"/>
          <w:szCs w:val="22"/>
        </w:rPr>
        <w:t xml:space="preserve">CONSTITUCIÓN POLÍTICA </w:t>
      </w:r>
    </w:p>
    <w:p w:rsidR="0010066B" w:rsidRDefault="00F432AA">
      <w:pPr>
        <w:tabs>
          <w:tab w:val="left" w:pos="284"/>
        </w:tabs>
        <w:spacing w:before="280" w:after="280"/>
        <w:ind w:left="1280" w:hanging="280"/>
        <w:jc w:val="both"/>
        <w:rPr>
          <w:rFonts w:ascii="Arial" w:eastAsia="Arial" w:hAnsi="Arial" w:cs="Arial"/>
          <w:i/>
          <w:sz w:val="22"/>
          <w:szCs w:val="22"/>
        </w:rPr>
      </w:pPr>
      <w:r>
        <w:rPr>
          <w:rFonts w:ascii="Arial" w:eastAsia="Arial" w:hAnsi="Arial" w:cs="Arial"/>
          <w:b/>
          <w:i/>
          <w:sz w:val="22"/>
          <w:szCs w:val="22"/>
        </w:rPr>
        <w:t xml:space="preserve">“ARTÍCULO 313. </w:t>
      </w:r>
      <w:r>
        <w:rPr>
          <w:rFonts w:ascii="Arial" w:eastAsia="Arial" w:hAnsi="Arial" w:cs="Arial"/>
          <w:i/>
          <w:sz w:val="22"/>
          <w:szCs w:val="22"/>
        </w:rPr>
        <w:t>Corresponde a los concejos:</w:t>
      </w:r>
    </w:p>
    <w:p w:rsidR="0010066B" w:rsidRDefault="00F432AA">
      <w:pPr>
        <w:tabs>
          <w:tab w:val="left" w:pos="284"/>
        </w:tabs>
        <w:spacing w:after="280"/>
        <w:ind w:left="1280" w:hanging="280"/>
        <w:jc w:val="both"/>
        <w:rPr>
          <w:rFonts w:ascii="Arial" w:eastAsia="Arial" w:hAnsi="Arial" w:cs="Arial"/>
          <w:i/>
          <w:sz w:val="22"/>
          <w:szCs w:val="22"/>
        </w:rPr>
      </w:pPr>
      <w:r>
        <w:rPr>
          <w:rFonts w:ascii="Arial" w:eastAsia="Arial" w:hAnsi="Arial" w:cs="Arial"/>
          <w:i/>
          <w:sz w:val="22"/>
          <w:szCs w:val="22"/>
        </w:rPr>
        <w:t>1. Reglamentar las funciones y la eficiente prestación de los servicios a cargo del municipio. (…)”</w:t>
      </w:r>
    </w:p>
    <w:p w:rsidR="0010066B" w:rsidRDefault="00F432AA">
      <w:pPr>
        <w:tabs>
          <w:tab w:val="left" w:pos="284"/>
        </w:tabs>
        <w:spacing w:line="301" w:lineRule="auto"/>
        <w:jc w:val="both"/>
        <w:rPr>
          <w:rFonts w:ascii="Arial" w:eastAsia="Arial" w:hAnsi="Arial" w:cs="Arial"/>
          <w:b/>
          <w:i/>
          <w:sz w:val="22"/>
          <w:szCs w:val="22"/>
        </w:rPr>
      </w:pPr>
      <w:r>
        <w:rPr>
          <w:rFonts w:ascii="Arial" w:eastAsia="Arial" w:hAnsi="Arial" w:cs="Arial"/>
          <w:b/>
          <w:i/>
          <w:sz w:val="22"/>
          <w:szCs w:val="22"/>
        </w:rPr>
        <w:t xml:space="preserve"> </w:t>
      </w:r>
    </w:p>
    <w:p w:rsidR="0010066B" w:rsidRDefault="00F432AA">
      <w:pPr>
        <w:tabs>
          <w:tab w:val="left" w:pos="284"/>
        </w:tabs>
        <w:spacing w:line="301" w:lineRule="auto"/>
        <w:jc w:val="both"/>
        <w:rPr>
          <w:rFonts w:ascii="Arial" w:eastAsia="Arial" w:hAnsi="Arial" w:cs="Arial"/>
          <w:b/>
          <w:sz w:val="22"/>
          <w:szCs w:val="22"/>
        </w:rPr>
      </w:pPr>
      <w:r>
        <w:rPr>
          <w:rFonts w:ascii="Arial" w:eastAsia="Arial" w:hAnsi="Arial" w:cs="Arial"/>
          <w:b/>
          <w:sz w:val="22"/>
          <w:szCs w:val="22"/>
        </w:rPr>
        <w:t xml:space="preserve">DECRETO LEY 1421 de 1993 </w:t>
      </w:r>
    </w:p>
    <w:p w:rsidR="0010066B" w:rsidRDefault="0010066B">
      <w:pPr>
        <w:tabs>
          <w:tab w:val="left" w:pos="284"/>
        </w:tabs>
        <w:spacing w:line="301" w:lineRule="auto"/>
        <w:jc w:val="both"/>
        <w:rPr>
          <w:rFonts w:ascii="Arial" w:eastAsia="Arial" w:hAnsi="Arial" w:cs="Arial"/>
          <w:b/>
          <w:sz w:val="22"/>
          <w:szCs w:val="22"/>
        </w:rPr>
      </w:pPr>
    </w:p>
    <w:p w:rsidR="0010066B" w:rsidRDefault="00F432AA">
      <w:pPr>
        <w:tabs>
          <w:tab w:val="left" w:pos="284"/>
        </w:tabs>
        <w:spacing w:line="301" w:lineRule="auto"/>
        <w:jc w:val="both"/>
        <w:rPr>
          <w:rFonts w:ascii="Arial" w:eastAsia="Arial" w:hAnsi="Arial" w:cs="Arial"/>
          <w:sz w:val="22"/>
          <w:szCs w:val="22"/>
        </w:rPr>
      </w:pPr>
      <w:r>
        <w:rPr>
          <w:rFonts w:ascii="Arial" w:eastAsia="Arial" w:hAnsi="Arial" w:cs="Arial"/>
          <w:sz w:val="22"/>
          <w:szCs w:val="22"/>
        </w:rPr>
        <w:t>El Concejo Distrital de Bogotá D.C. es competente de conformidad con los artículos 6 y 12:</w:t>
      </w:r>
    </w:p>
    <w:p w:rsidR="0010066B" w:rsidRDefault="00F432AA">
      <w:pPr>
        <w:tabs>
          <w:tab w:val="left" w:pos="284"/>
        </w:tabs>
        <w:spacing w:line="301" w:lineRule="auto"/>
        <w:ind w:left="720"/>
        <w:jc w:val="both"/>
        <w:rPr>
          <w:rFonts w:ascii="Arial" w:eastAsia="Arial" w:hAnsi="Arial" w:cs="Arial"/>
          <w:i/>
          <w:sz w:val="22"/>
          <w:szCs w:val="22"/>
        </w:rPr>
      </w:pPr>
      <w:r>
        <w:rPr>
          <w:rFonts w:ascii="Arial" w:eastAsia="Arial" w:hAnsi="Arial" w:cs="Arial"/>
          <w:b/>
          <w:i/>
          <w:sz w:val="22"/>
          <w:szCs w:val="22"/>
        </w:rPr>
        <w:t xml:space="preserve">“ARTÍCULO 6: PARTICIPACIÓN COMUNITARIA Y VEEDURÍA CIUDADANA. </w:t>
      </w:r>
      <w:r>
        <w:rPr>
          <w:rFonts w:ascii="Arial" w:eastAsia="Arial" w:hAnsi="Arial" w:cs="Arial"/>
          <w:i/>
          <w:sz w:val="22"/>
          <w:szCs w:val="22"/>
        </w:rPr>
        <w:t xml:space="preserve">Las autoridades distritales promoverán la organización de los habitantes y comunidades del Distrito y estimularán la creación de las asociaciones profesionales, culturales, cívicas, populares, comunitarias y juveniles que sirvan de mecanismo de representación en las distintas instancias de participación, concertación y vigilancia de la gestión distrital y local. </w:t>
      </w:r>
    </w:p>
    <w:p w:rsidR="0010066B" w:rsidRDefault="00F432AA">
      <w:pPr>
        <w:tabs>
          <w:tab w:val="left" w:pos="284"/>
        </w:tabs>
        <w:spacing w:before="280" w:after="280" w:line="276" w:lineRule="auto"/>
        <w:ind w:left="700"/>
        <w:jc w:val="both"/>
        <w:rPr>
          <w:rFonts w:ascii="Arial" w:eastAsia="Arial" w:hAnsi="Arial" w:cs="Arial"/>
          <w:i/>
          <w:sz w:val="22"/>
          <w:szCs w:val="22"/>
        </w:rPr>
      </w:pPr>
      <w:r>
        <w:rPr>
          <w:rFonts w:ascii="Arial" w:eastAsia="Arial" w:hAnsi="Arial" w:cs="Arial"/>
          <w:i/>
          <w:sz w:val="22"/>
          <w:szCs w:val="22"/>
          <w:u w:val="single"/>
        </w:rPr>
        <w:t>De conformidad con lo que disponga la ley, el Concejo dictará las normas necesarias para asegurar la vigencia de las instituciones y mecanismos de participación ciudadana y comunitaria</w:t>
      </w:r>
      <w:r>
        <w:rPr>
          <w:rFonts w:ascii="Arial" w:eastAsia="Arial" w:hAnsi="Arial" w:cs="Arial"/>
          <w:i/>
          <w:sz w:val="22"/>
          <w:szCs w:val="22"/>
        </w:rPr>
        <w:t xml:space="preserve"> y estimular y fortalecer los procedimientos que garanticen la veeduría ciudadana frente a la gestión y la contratación administrativas. (subrayado fuera de texto original) (…)</w:t>
      </w:r>
    </w:p>
    <w:p w:rsidR="0010066B" w:rsidRDefault="00F432AA">
      <w:pPr>
        <w:tabs>
          <w:tab w:val="left" w:pos="284"/>
        </w:tabs>
        <w:spacing w:line="301" w:lineRule="auto"/>
        <w:ind w:left="720"/>
        <w:jc w:val="both"/>
        <w:rPr>
          <w:rFonts w:ascii="Arial" w:eastAsia="Arial" w:hAnsi="Arial" w:cs="Arial"/>
          <w:i/>
          <w:sz w:val="22"/>
          <w:szCs w:val="22"/>
        </w:rPr>
      </w:pPr>
      <w:r>
        <w:rPr>
          <w:rFonts w:ascii="Arial" w:eastAsia="Arial" w:hAnsi="Arial" w:cs="Arial"/>
          <w:b/>
          <w:sz w:val="22"/>
          <w:szCs w:val="22"/>
        </w:rPr>
        <w:t xml:space="preserve">ARTÍCULO 12: </w:t>
      </w:r>
      <w:r>
        <w:rPr>
          <w:rFonts w:ascii="Arial" w:eastAsia="Arial" w:hAnsi="Arial" w:cs="Arial"/>
          <w:b/>
          <w:i/>
          <w:sz w:val="22"/>
          <w:szCs w:val="22"/>
        </w:rPr>
        <w:t xml:space="preserve">ATRIBUCIONES. </w:t>
      </w:r>
      <w:r>
        <w:rPr>
          <w:rFonts w:ascii="Arial" w:eastAsia="Arial" w:hAnsi="Arial" w:cs="Arial"/>
          <w:i/>
          <w:sz w:val="22"/>
          <w:szCs w:val="22"/>
        </w:rPr>
        <w:t xml:space="preserve">Corresponde al Concejo Distrital, de conformidad con la Constitución y la ley: </w:t>
      </w:r>
    </w:p>
    <w:p w:rsidR="0010066B" w:rsidRDefault="00F432AA">
      <w:pPr>
        <w:tabs>
          <w:tab w:val="left" w:pos="284"/>
        </w:tabs>
        <w:spacing w:line="301" w:lineRule="auto"/>
        <w:ind w:left="1280" w:hanging="280"/>
        <w:jc w:val="both"/>
        <w:rPr>
          <w:rFonts w:ascii="Arial" w:eastAsia="Arial" w:hAnsi="Arial" w:cs="Arial"/>
          <w:i/>
          <w:sz w:val="22"/>
          <w:szCs w:val="22"/>
        </w:rPr>
      </w:pPr>
      <w:r>
        <w:rPr>
          <w:rFonts w:ascii="Arial" w:eastAsia="Arial" w:hAnsi="Arial" w:cs="Arial"/>
          <w:i/>
          <w:sz w:val="22"/>
          <w:szCs w:val="22"/>
        </w:rPr>
        <w:t xml:space="preserve"> </w:t>
      </w:r>
    </w:p>
    <w:p w:rsidR="0010066B" w:rsidRDefault="00F432AA">
      <w:pPr>
        <w:tabs>
          <w:tab w:val="left" w:pos="284"/>
        </w:tabs>
        <w:spacing w:line="301" w:lineRule="auto"/>
        <w:ind w:left="720"/>
        <w:jc w:val="both"/>
        <w:rPr>
          <w:rFonts w:ascii="Arial" w:eastAsia="Arial" w:hAnsi="Arial" w:cs="Arial"/>
          <w:b/>
          <w:i/>
          <w:sz w:val="22"/>
          <w:szCs w:val="22"/>
        </w:rPr>
      </w:pPr>
      <w:r>
        <w:rPr>
          <w:rFonts w:ascii="Arial" w:eastAsia="Arial" w:hAnsi="Arial" w:cs="Arial"/>
          <w:i/>
          <w:sz w:val="22"/>
          <w:szCs w:val="22"/>
        </w:rPr>
        <w:t>1. Dictar las normas necesarias para garantizar el adecuado cumplimiento de las funciones y la eficiente prestación de los servicios a cargo del Distrito. (…)”</w:t>
      </w:r>
      <w:r>
        <w:rPr>
          <w:rFonts w:ascii="Arial" w:eastAsia="Arial" w:hAnsi="Arial" w:cs="Arial"/>
          <w:b/>
          <w:i/>
          <w:sz w:val="22"/>
          <w:szCs w:val="22"/>
        </w:rPr>
        <w:t xml:space="preserve"> </w:t>
      </w:r>
    </w:p>
    <w:p w:rsidR="0010066B" w:rsidRDefault="00F432AA">
      <w:pPr>
        <w:tabs>
          <w:tab w:val="left" w:pos="284"/>
        </w:tabs>
        <w:spacing w:line="301" w:lineRule="auto"/>
        <w:ind w:left="720"/>
        <w:jc w:val="both"/>
        <w:rPr>
          <w:rFonts w:ascii="Arial" w:eastAsia="Arial" w:hAnsi="Arial" w:cs="Arial"/>
          <w:b/>
          <w:i/>
          <w:sz w:val="22"/>
          <w:szCs w:val="22"/>
        </w:rPr>
      </w:pPr>
      <w:r>
        <w:rPr>
          <w:rFonts w:ascii="Arial" w:eastAsia="Arial" w:hAnsi="Arial" w:cs="Arial"/>
          <w:b/>
          <w:i/>
          <w:sz w:val="22"/>
          <w:szCs w:val="22"/>
        </w:rPr>
        <w:t xml:space="preserve"> </w:t>
      </w:r>
    </w:p>
    <w:p w:rsidR="0010066B" w:rsidRDefault="00F432AA">
      <w:pPr>
        <w:tabs>
          <w:tab w:val="left" w:pos="284"/>
        </w:tabs>
        <w:spacing w:line="301" w:lineRule="auto"/>
        <w:jc w:val="both"/>
        <w:rPr>
          <w:rFonts w:ascii="Arial" w:eastAsia="Arial" w:hAnsi="Arial" w:cs="Arial"/>
          <w:b/>
          <w:sz w:val="22"/>
          <w:szCs w:val="22"/>
        </w:rPr>
      </w:pPr>
      <w:r>
        <w:rPr>
          <w:rFonts w:ascii="Arial" w:eastAsia="Arial" w:hAnsi="Arial" w:cs="Arial"/>
          <w:b/>
          <w:sz w:val="22"/>
          <w:szCs w:val="22"/>
        </w:rPr>
        <w:t>ACUERDO No. 741 DE 2019</w:t>
      </w:r>
    </w:p>
    <w:p w:rsidR="0010066B" w:rsidRDefault="00F432AA">
      <w:pPr>
        <w:tabs>
          <w:tab w:val="left" w:pos="284"/>
        </w:tabs>
        <w:spacing w:line="301" w:lineRule="auto"/>
        <w:jc w:val="both"/>
        <w:rPr>
          <w:rFonts w:ascii="Arial" w:eastAsia="Arial" w:hAnsi="Arial" w:cs="Arial"/>
          <w:b/>
          <w:i/>
          <w:sz w:val="22"/>
          <w:szCs w:val="22"/>
        </w:rPr>
      </w:pPr>
      <w:r>
        <w:rPr>
          <w:rFonts w:ascii="Arial" w:eastAsia="Arial" w:hAnsi="Arial" w:cs="Arial"/>
          <w:b/>
          <w:i/>
          <w:sz w:val="22"/>
          <w:szCs w:val="22"/>
        </w:rPr>
        <w:t xml:space="preserve"> </w:t>
      </w:r>
    </w:p>
    <w:p w:rsidR="0010066B" w:rsidRDefault="00F432AA">
      <w:pPr>
        <w:tabs>
          <w:tab w:val="left" w:pos="284"/>
        </w:tabs>
        <w:spacing w:line="301" w:lineRule="auto"/>
        <w:ind w:left="720"/>
        <w:jc w:val="both"/>
        <w:rPr>
          <w:rFonts w:ascii="Arial" w:eastAsia="Arial" w:hAnsi="Arial" w:cs="Arial"/>
          <w:i/>
          <w:sz w:val="22"/>
          <w:szCs w:val="22"/>
        </w:rPr>
      </w:pPr>
      <w:r>
        <w:rPr>
          <w:rFonts w:ascii="Arial" w:eastAsia="Arial" w:hAnsi="Arial" w:cs="Arial"/>
          <w:b/>
          <w:i/>
          <w:sz w:val="22"/>
          <w:szCs w:val="22"/>
        </w:rPr>
        <w:t xml:space="preserve">“ARTÍCULO 3. ATRIBUCIONES. </w:t>
      </w:r>
      <w:r>
        <w:rPr>
          <w:rFonts w:ascii="Arial" w:eastAsia="Arial" w:hAnsi="Arial" w:cs="Arial"/>
          <w:i/>
          <w:sz w:val="22"/>
          <w:szCs w:val="22"/>
        </w:rPr>
        <w:t>El Concejo de Bogotá, D.C., ejerce las atribuciones, funciones y competencias de conformidad con lo establecido en la Constitución Política, el Estatuto Orgánico para Bogotá, D.C., las leyes especiales, así como las conferidas a las Asambleas Departamentales en lo que fuere compatible con su régimen especial. En ausencia de las normas anteriores, se somete a las disposiciones constitucionales y legales vigentes para los municipios.</w:t>
      </w:r>
    </w:p>
    <w:p w:rsidR="0010066B" w:rsidRDefault="00F432AA">
      <w:pPr>
        <w:tabs>
          <w:tab w:val="left" w:pos="284"/>
        </w:tabs>
        <w:spacing w:line="301" w:lineRule="auto"/>
        <w:jc w:val="both"/>
        <w:rPr>
          <w:rFonts w:ascii="Arial" w:eastAsia="Arial" w:hAnsi="Arial" w:cs="Arial"/>
          <w:b/>
          <w:i/>
          <w:sz w:val="22"/>
          <w:szCs w:val="22"/>
        </w:rPr>
      </w:pPr>
      <w:r>
        <w:rPr>
          <w:rFonts w:ascii="Arial" w:eastAsia="Arial" w:hAnsi="Arial" w:cs="Arial"/>
          <w:b/>
          <w:i/>
          <w:sz w:val="22"/>
          <w:szCs w:val="22"/>
        </w:rPr>
        <w:t xml:space="preserve"> </w:t>
      </w:r>
    </w:p>
    <w:p w:rsidR="0010066B" w:rsidRDefault="00F432AA">
      <w:pPr>
        <w:numPr>
          <w:ilvl w:val="0"/>
          <w:numId w:val="2"/>
        </w:numPr>
        <w:pBdr>
          <w:top w:val="nil"/>
          <w:left w:val="nil"/>
          <w:bottom w:val="nil"/>
          <w:right w:val="nil"/>
          <w:between w:val="nil"/>
        </w:pBdr>
        <w:tabs>
          <w:tab w:val="left" w:pos="284"/>
        </w:tabs>
        <w:spacing w:line="276" w:lineRule="auto"/>
        <w:jc w:val="both"/>
        <w:rPr>
          <w:rFonts w:ascii="Arial" w:eastAsia="Arial" w:hAnsi="Arial" w:cs="Arial"/>
          <w:i/>
          <w:sz w:val="22"/>
          <w:szCs w:val="22"/>
        </w:rPr>
      </w:pPr>
      <w:r>
        <w:rPr>
          <w:rFonts w:ascii="Arial" w:eastAsia="Arial" w:hAnsi="Arial" w:cs="Arial"/>
          <w:b/>
          <w:sz w:val="22"/>
          <w:szCs w:val="22"/>
        </w:rPr>
        <w:t>IMPACTO FISCAL</w:t>
      </w:r>
    </w:p>
    <w:p w:rsidR="0010066B" w:rsidRDefault="00F432AA">
      <w:pPr>
        <w:widowControl w:val="0"/>
        <w:tabs>
          <w:tab w:val="left" w:pos="284"/>
        </w:tabs>
        <w:spacing w:before="240" w:after="240" w:line="301" w:lineRule="auto"/>
        <w:jc w:val="both"/>
        <w:rPr>
          <w:rFonts w:ascii="Arial" w:eastAsia="Arial" w:hAnsi="Arial" w:cs="Arial"/>
          <w:sz w:val="22"/>
          <w:szCs w:val="22"/>
        </w:rPr>
      </w:pPr>
      <w:r>
        <w:rPr>
          <w:rFonts w:ascii="Arial" w:eastAsia="Arial" w:hAnsi="Arial" w:cs="Arial"/>
          <w:sz w:val="22"/>
          <w:szCs w:val="22"/>
        </w:rPr>
        <w:t>De conformidad con el Artículo 7° de la Ley 819 de 2003, el Proyecto de Acuerdo en estudio no tiene un impacto fiscal que requiera una modificación al marco fiscal de mediano plazo. Los gastos derivados de esta iniciativa se entenderán incluidos en los presupuestos y en el Plan Operativo Anual de Inversión de las entidades competentes.</w:t>
      </w:r>
    </w:p>
    <w:p w:rsidR="0010066B" w:rsidRDefault="00F432AA">
      <w:pPr>
        <w:widowControl w:val="0"/>
        <w:tabs>
          <w:tab w:val="left" w:pos="284"/>
        </w:tabs>
        <w:spacing w:line="301" w:lineRule="auto"/>
        <w:jc w:val="both"/>
        <w:rPr>
          <w:rFonts w:ascii="Arial" w:eastAsia="Arial" w:hAnsi="Arial" w:cs="Arial"/>
          <w:sz w:val="22"/>
          <w:szCs w:val="22"/>
        </w:rPr>
      </w:pPr>
      <w:r>
        <w:rPr>
          <w:rFonts w:ascii="Arial" w:eastAsia="Arial" w:hAnsi="Arial" w:cs="Arial"/>
          <w:sz w:val="22"/>
          <w:szCs w:val="22"/>
        </w:rPr>
        <w:t>El Artículo 7 de la Ley 819 de 2003, estableció:</w:t>
      </w:r>
    </w:p>
    <w:p w:rsidR="0010066B" w:rsidRDefault="00F432AA">
      <w:pPr>
        <w:widowControl w:val="0"/>
        <w:tabs>
          <w:tab w:val="left" w:pos="284"/>
        </w:tabs>
        <w:spacing w:line="301" w:lineRule="auto"/>
        <w:jc w:val="both"/>
        <w:rPr>
          <w:rFonts w:ascii="Arial" w:eastAsia="Arial" w:hAnsi="Arial" w:cs="Arial"/>
          <w:sz w:val="22"/>
          <w:szCs w:val="22"/>
        </w:rPr>
      </w:pPr>
      <w:r>
        <w:rPr>
          <w:rFonts w:ascii="Arial" w:eastAsia="Arial" w:hAnsi="Arial" w:cs="Arial"/>
          <w:sz w:val="22"/>
          <w:szCs w:val="22"/>
        </w:rPr>
        <w:t xml:space="preserve"> </w:t>
      </w:r>
    </w:p>
    <w:p w:rsidR="0010066B" w:rsidRDefault="00F432AA">
      <w:pPr>
        <w:widowControl w:val="0"/>
        <w:tabs>
          <w:tab w:val="left" w:pos="284"/>
        </w:tabs>
        <w:spacing w:line="301" w:lineRule="auto"/>
        <w:ind w:left="720"/>
        <w:jc w:val="both"/>
        <w:rPr>
          <w:rFonts w:ascii="Arial" w:eastAsia="Arial" w:hAnsi="Arial" w:cs="Arial"/>
          <w:b/>
          <w:sz w:val="22"/>
          <w:szCs w:val="22"/>
        </w:rPr>
      </w:pPr>
      <w:r>
        <w:rPr>
          <w:rFonts w:ascii="Arial" w:eastAsia="Arial" w:hAnsi="Arial" w:cs="Arial"/>
          <w:sz w:val="22"/>
          <w:szCs w:val="22"/>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 Para estos propósitos, deberá incluirse expresamente en la exposición de motivos y en las ponencias de trámite respectivas los costos fiscales de la iniciativa y la fuente de ingreso adicional generada para el financiamiento de dicho costo”</w:t>
      </w:r>
    </w:p>
    <w:p w:rsidR="0010066B" w:rsidRDefault="00F432AA">
      <w:pPr>
        <w:widowControl w:val="0"/>
        <w:tabs>
          <w:tab w:val="left" w:pos="284"/>
        </w:tabs>
        <w:spacing w:before="240" w:after="240" w:line="301" w:lineRule="auto"/>
        <w:jc w:val="both"/>
        <w:rPr>
          <w:rFonts w:ascii="Arial" w:eastAsia="Arial" w:hAnsi="Arial" w:cs="Arial"/>
          <w:sz w:val="22"/>
          <w:szCs w:val="22"/>
        </w:rPr>
      </w:pPr>
      <w:r>
        <w:rPr>
          <w:rFonts w:ascii="Arial" w:eastAsia="Arial" w:hAnsi="Arial" w:cs="Arial"/>
          <w:sz w:val="22"/>
          <w:szCs w:val="22"/>
        </w:rPr>
        <w:t>En el caso específico, es importante tener en cuenta la Sentencia C-911 de 2007 de la Corte Constitucional, que subraya que el impacto fiscal de las normas no debe ser un obstáculo para que las corporaciones públicas ejerzan su función legislativa y normativa de la siguiente manera:</w:t>
      </w:r>
    </w:p>
    <w:p w:rsidR="0010066B" w:rsidRDefault="00F432AA">
      <w:pPr>
        <w:widowControl w:val="0"/>
        <w:tabs>
          <w:tab w:val="left" w:pos="284"/>
        </w:tabs>
        <w:spacing w:line="301" w:lineRule="auto"/>
        <w:ind w:left="720"/>
        <w:jc w:val="both"/>
        <w:rPr>
          <w:rFonts w:ascii="Arial" w:eastAsia="Arial" w:hAnsi="Arial" w:cs="Arial"/>
          <w:sz w:val="22"/>
          <w:szCs w:val="22"/>
        </w:rPr>
      </w:pPr>
      <w:r>
        <w:rPr>
          <w:rFonts w:ascii="Arial" w:eastAsia="Arial" w:hAnsi="Arial" w:cs="Arial"/>
          <w:sz w:val="22"/>
          <w:szCs w:val="22"/>
        </w:rPr>
        <w:t>“En la realidad, aceptar que las condiciones establecidas en el art. 7° de la Ley 819 de 2003 constituyen un requisito de trámite que le incumbe cumplir única y exclusivamente al Congreso reduce desproporcionadamente la capacidad de iniciativa legislativa que reside en el Congreso de la República, con lo cual se vulnera el principio de separación de las Ramas del Poder Público, en la medida en que se lesiona seriamente la autonomía del Legislativo”.</w:t>
      </w:r>
    </w:p>
    <w:p w:rsidR="0010066B" w:rsidRDefault="00F432AA">
      <w:pPr>
        <w:widowControl w:val="0"/>
        <w:tabs>
          <w:tab w:val="left" w:pos="284"/>
        </w:tabs>
        <w:spacing w:line="301" w:lineRule="auto"/>
        <w:ind w:left="720"/>
        <w:jc w:val="both"/>
        <w:rPr>
          <w:rFonts w:ascii="Arial" w:eastAsia="Arial" w:hAnsi="Arial" w:cs="Arial"/>
          <w:sz w:val="22"/>
          <w:szCs w:val="22"/>
        </w:rPr>
      </w:pPr>
      <w:r>
        <w:rPr>
          <w:rFonts w:ascii="Arial" w:eastAsia="Arial" w:hAnsi="Arial" w:cs="Arial"/>
          <w:sz w:val="22"/>
          <w:szCs w:val="22"/>
        </w:rPr>
        <w:t xml:space="preserve"> </w:t>
      </w:r>
    </w:p>
    <w:p w:rsidR="0010066B" w:rsidRDefault="00F432AA">
      <w:pPr>
        <w:widowControl w:val="0"/>
        <w:tabs>
          <w:tab w:val="left" w:pos="284"/>
        </w:tabs>
        <w:spacing w:line="301" w:lineRule="auto"/>
        <w:ind w:left="720"/>
        <w:jc w:val="both"/>
        <w:rPr>
          <w:rFonts w:ascii="Arial" w:eastAsia="Arial" w:hAnsi="Arial" w:cs="Arial"/>
          <w:sz w:val="22"/>
          <w:szCs w:val="22"/>
        </w:rPr>
      </w:pPr>
      <w:r>
        <w:rPr>
          <w:rFonts w:ascii="Arial" w:eastAsia="Arial" w:hAnsi="Arial" w:cs="Arial"/>
          <w:sz w:val="22"/>
          <w:szCs w:val="22"/>
        </w:rPr>
        <w:t>“Precisamente, los obstáculos casi insuperables que se generarían para la actividad legislativa del Congreso de la República conducirán a concederle una forma de poder de veto al ministro de Hacienda sobre las iniciativas de ley en el Parlamento. Es decir,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w:t>
      </w:r>
    </w:p>
    <w:p w:rsidR="0010066B" w:rsidRDefault="00F432AA">
      <w:pPr>
        <w:widowControl w:val="0"/>
        <w:tabs>
          <w:tab w:val="left" w:pos="284"/>
        </w:tabs>
        <w:spacing w:before="240" w:after="240" w:line="301" w:lineRule="auto"/>
        <w:jc w:val="both"/>
        <w:rPr>
          <w:rFonts w:ascii="Arial" w:eastAsia="Arial" w:hAnsi="Arial" w:cs="Arial"/>
          <w:sz w:val="22"/>
          <w:szCs w:val="22"/>
        </w:rPr>
      </w:pPr>
      <w:r>
        <w:rPr>
          <w:rFonts w:ascii="Arial" w:eastAsia="Arial" w:hAnsi="Arial" w:cs="Arial"/>
          <w:sz w:val="22"/>
          <w:szCs w:val="22"/>
        </w:rPr>
        <w:t xml:space="preserve">En cumplimiento de esta norma, consideramos que los recursos necesarios para implementar esta iniciativa ya están contemplados en el Plan de Desarrollo Distrital </w:t>
      </w:r>
      <w:r>
        <w:rPr>
          <w:rFonts w:ascii="Arial" w:eastAsia="Arial" w:hAnsi="Arial" w:cs="Arial"/>
          <w:i/>
          <w:sz w:val="22"/>
          <w:szCs w:val="22"/>
        </w:rPr>
        <w:t>“Bogotá Camina Segura”</w:t>
      </w:r>
      <w:r>
        <w:rPr>
          <w:rFonts w:ascii="Arial" w:eastAsia="Arial" w:hAnsi="Arial" w:cs="Arial"/>
          <w:sz w:val="22"/>
          <w:szCs w:val="22"/>
        </w:rPr>
        <w:t>, adoptado mediante el Acuerdo 927 de 2024, específicamente en su objetivo estratégico 3: “Bogotá confía en su potencial”, a través de los programas 3.20 “Promoción del emprendimiento formal, equitativo e incluyente” y 3.19 “Desarrollo empresarial, productividad y empleo”.</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Además, dentro de las políticas sectoriales vigentes, se encuentra la Política Distrital de Productividad, Competitividad y Desarrollo Socioeconómico, regulada por el Decreto 064 de 2011. Esta política pública busca promover el crecimiento económico y la competitividad de Bogotá, así como el desarrollo de alternativas productivas, el fortalecimiento empresarial, la generación de ingresos y oportunidades de empleo, y la promoción de las capacidades y potencialidades de las personas. Bajo su eje temático “Sectores Líderes y Apuestas Productivas”, la Secretaría de Desarrollo Económico asignará los recursos necesarios para dar cumplimiento a esta política pública con una perspectiva de largo plazo hasta el año 2038.</w:t>
      </w:r>
    </w:p>
    <w:p w:rsidR="0010066B" w:rsidRDefault="0010066B">
      <w:pPr>
        <w:jc w:val="both"/>
        <w:rPr>
          <w:rFonts w:ascii="Arial" w:eastAsia="Arial" w:hAnsi="Arial" w:cs="Arial"/>
          <w:sz w:val="22"/>
          <w:szCs w:val="22"/>
        </w:rPr>
      </w:pPr>
    </w:p>
    <w:p w:rsidR="0010066B" w:rsidRDefault="00F432AA">
      <w:pPr>
        <w:numPr>
          <w:ilvl w:val="0"/>
          <w:numId w:val="2"/>
        </w:numPr>
        <w:pBdr>
          <w:top w:val="nil"/>
          <w:left w:val="nil"/>
          <w:bottom w:val="nil"/>
          <w:right w:val="nil"/>
          <w:between w:val="nil"/>
        </w:pBdr>
        <w:spacing w:after="160" w:line="259" w:lineRule="auto"/>
        <w:rPr>
          <w:rFonts w:ascii="Arial" w:eastAsia="Arial" w:hAnsi="Arial" w:cs="Arial"/>
          <w:b/>
          <w:color w:val="000000"/>
          <w:sz w:val="22"/>
          <w:szCs w:val="22"/>
        </w:rPr>
      </w:pPr>
      <w:r>
        <w:rPr>
          <w:rFonts w:ascii="Arial" w:eastAsia="Arial" w:hAnsi="Arial" w:cs="Arial"/>
          <w:b/>
          <w:color w:val="000000"/>
          <w:sz w:val="22"/>
          <w:szCs w:val="22"/>
        </w:rPr>
        <w:t>CONSIDERACIONES DE LA PONENTE</w:t>
      </w:r>
    </w:p>
    <w:p w:rsidR="0010066B" w:rsidRDefault="0010066B">
      <w:pPr>
        <w:rPr>
          <w:rFonts w:ascii="Arial" w:eastAsia="Arial" w:hAnsi="Arial" w:cs="Arial"/>
          <w:b/>
        </w:rPr>
      </w:pP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 xml:space="preserve">La actividad comercial del barrio El Restrepo del cuero, calzado, marroquinería y sus derivados cuenta con una amplia tradición en la que familias, emprendedores y pequeñas industrias, han generado capacidades, industria y un tejido productivo y comercial de importante valía. En este sentido, este proyecto de acuerdo es muy oportuno. Su apuesta por rescatar y fortalecer esta industria que ha sido impactada de forma negativa por la crisis económica por la pandemia por </w:t>
      </w:r>
      <w:proofErr w:type="spellStart"/>
      <w:r>
        <w:rPr>
          <w:rFonts w:ascii="Arial" w:eastAsia="Arial" w:hAnsi="Arial" w:cs="Arial"/>
          <w:sz w:val="22"/>
          <w:szCs w:val="22"/>
        </w:rPr>
        <w:t>Covid</w:t>
      </w:r>
      <w:proofErr w:type="spellEnd"/>
      <w:r>
        <w:rPr>
          <w:rFonts w:ascii="Arial" w:eastAsia="Arial" w:hAnsi="Arial" w:cs="Arial"/>
          <w:sz w:val="22"/>
          <w:szCs w:val="22"/>
        </w:rPr>
        <w:t xml:space="preserve"> 19, así como por la competencia de los productos provenientes de China es realmente urgente para este sector productivo de la ciudad. En este orden de ideas, algunas consideraciones para fortalecer esta iniciativa.</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En primer lugar, considerar que buena parte de estos emprendimientos en el sector del cuero surgen y se mantienen en circuitos de producción y comercialización de corto alcance, con baja capacidad de endeudamiento y con escasas posibilidades de tecnificación y expansión comercial. Muchos de estos emprendimientos pueden inscribirse en dinámicas propias de la economía popular en las que la producción, comercialización y distribución suceden a pequeña escala y de forma no institucionalizada. Esto significa que a propósito de esta iniciativa normativa se puede fortalecer este clúster económico y de alguna manera fortalecer algunos de los circuitos de economía popular</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 xml:space="preserve">En segundo lugar, a propósito de esta iniciativa normativa se deben superar dificultades en diversos órdenes para fortalecer este clúster económico, no solo generar un espacio de comercialización como lo sería Expo-Restrepo, sino promover alrededor de este escenario, otros mecanismos que permitan ganar capacidades productivas y de promoción de sus productos  y fundamentalmente, construir  circuitos en el enfoque del </w:t>
      </w:r>
      <w:r>
        <w:rPr>
          <w:rFonts w:ascii="Arial" w:eastAsia="Arial" w:hAnsi="Arial" w:cs="Arial"/>
          <w:b/>
          <w:sz w:val="22"/>
          <w:szCs w:val="22"/>
        </w:rPr>
        <w:t>comercio justo</w:t>
      </w:r>
      <w:r>
        <w:rPr>
          <w:rFonts w:ascii="Arial" w:eastAsia="Arial" w:hAnsi="Arial" w:cs="Arial"/>
          <w:sz w:val="22"/>
          <w:szCs w:val="22"/>
        </w:rPr>
        <w:t xml:space="preserve">. En este orden de ideas, precisa la Coordinadora Latinoamericana y del Caribe de Pequeños Productores y de Trabajadores de Comercio Justo, CLAC- FAIRTRADE internacional que, la </w:t>
      </w:r>
    </w:p>
    <w:p w:rsidR="0010066B" w:rsidRDefault="00F432AA">
      <w:pPr>
        <w:spacing w:after="160" w:line="278" w:lineRule="auto"/>
        <w:ind w:left="720"/>
        <w:jc w:val="both"/>
        <w:rPr>
          <w:rFonts w:ascii="Arial" w:eastAsia="Arial" w:hAnsi="Arial" w:cs="Arial"/>
          <w:sz w:val="22"/>
          <w:szCs w:val="22"/>
        </w:rPr>
      </w:pPr>
      <w:r>
        <w:rPr>
          <w:rFonts w:ascii="Arial" w:eastAsia="Arial" w:hAnsi="Arial" w:cs="Arial"/>
          <w:sz w:val="22"/>
          <w:szCs w:val="22"/>
        </w:rPr>
        <w:t xml:space="preserve">“feria es un punto de encuentro, durante un tiempo limitado, entre la oferta (el productor) y los autores que interactúan en el mercado, principalmente los clientes; pero también puede ser un lugar de encuentro con inversionistas, nuevos aliados, intermediarios y proveedores” </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Las ferias son por lo tanto una oportunidad para presentar y promover productos personales, contactar clientes personales que de otra manera no llegarían al lugar habitual de venta,  o no lograrían los contactos importantes en un tiempo breve,. Estas ferias son una oportunidad para recibir retroalimentación inmediata,  identificar oportunidades de mejora y acceder a mercados internacionales.</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A manera de una primera conclusión,  la feria es una herramienta que puede fortalecer la presencia de la marca, comercializar en otros ámbitos locales e internacionales y adoptar el concepto de comercio justo.</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Por comercio justo entendemos, tal como la refiere la Organización de las Naciones Unidas,  la relación comercial voluntaria y justa entre productores y consumidores. Esta considera la generación de canales comerciales innovadores y el desarrollo sustentable y sostenible de la oferta. Además, promueve el desarrollo integral, con sustentabilidad económica, social y ambiental, respetando la idiosincrasia de los pueblos, sus culturas, sus tradiciones y los derechos humanos básicos.</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 xml:space="preserve">Un tercer elemento, es que este tipo de herramientas puede tener efectos positivos en problemáticas que enfrentan los emprendimientos pequeños de baja escala. Por su parte autores como, Suescun, Bernal, Guevara y Morillo ( 2023 ) citando a autores  como, (Gago, 2014, </w:t>
      </w:r>
      <w:hyperlink r:id="rId15" w:anchor="B17">
        <w:r>
          <w:rPr>
            <w:rFonts w:ascii="Arial" w:eastAsia="Arial" w:hAnsi="Arial" w:cs="Arial"/>
            <w:sz w:val="22"/>
            <w:szCs w:val="22"/>
          </w:rPr>
          <w:t>2019</w:t>
        </w:r>
      </w:hyperlink>
      <w:r>
        <w:rPr>
          <w:rFonts w:ascii="Arial" w:eastAsia="Arial" w:hAnsi="Arial" w:cs="Arial"/>
          <w:sz w:val="22"/>
          <w:szCs w:val="22"/>
        </w:rPr>
        <w:t xml:space="preserve">; </w:t>
      </w:r>
      <w:hyperlink r:id="rId16" w:anchor="B18">
        <w:r>
          <w:rPr>
            <w:rFonts w:ascii="Arial" w:eastAsia="Arial" w:hAnsi="Arial" w:cs="Arial"/>
            <w:sz w:val="22"/>
            <w:szCs w:val="22"/>
          </w:rPr>
          <w:t>Giraldo; 2017</w:t>
        </w:r>
      </w:hyperlink>
      <w:r>
        <w:rPr>
          <w:rFonts w:ascii="Arial" w:eastAsia="Arial" w:hAnsi="Arial" w:cs="Arial"/>
          <w:sz w:val="22"/>
          <w:szCs w:val="22"/>
        </w:rPr>
        <w:t xml:space="preserve">, </w:t>
      </w:r>
      <w:hyperlink r:id="rId17" w:anchor="B19">
        <w:r>
          <w:rPr>
            <w:rFonts w:ascii="Arial" w:eastAsia="Arial" w:hAnsi="Arial" w:cs="Arial"/>
            <w:sz w:val="22"/>
            <w:szCs w:val="22"/>
          </w:rPr>
          <w:t>2020</w:t>
        </w:r>
      </w:hyperlink>
      <w:r>
        <w:rPr>
          <w:rFonts w:ascii="Arial" w:eastAsia="Arial" w:hAnsi="Arial" w:cs="Arial"/>
          <w:sz w:val="22"/>
          <w:szCs w:val="22"/>
        </w:rPr>
        <w:t>) precisan que se deben superar fallos de la economía popular como:</w:t>
      </w:r>
    </w:p>
    <w:p w:rsidR="0010066B" w:rsidRDefault="00F432AA">
      <w:pPr>
        <w:spacing w:after="160" w:line="278" w:lineRule="auto"/>
        <w:ind w:left="720"/>
        <w:jc w:val="both"/>
        <w:rPr>
          <w:rFonts w:ascii="Arial" w:eastAsia="Arial" w:hAnsi="Arial" w:cs="Arial"/>
          <w:sz w:val="22"/>
          <w:szCs w:val="22"/>
        </w:rPr>
      </w:pPr>
      <w:r>
        <w:rPr>
          <w:rFonts w:ascii="Arial" w:eastAsia="Arial" w:hAnsi="Arial" w:cs="Arial"/>
          <w:sz w:val="22"/>
          <w:szCs w:val="22"/>
        </w:rPr>
        <w:t xml:space="preserve">“1) invisibilidad en materia institucional como trabajadores y generadores de valor económico; </w:t>
      </w:r>
    </w:p>
    <w:p w:rsidR="0010066B" w:rsidRDefault="00F432AA">
      <w:pPr>
        <w:spacing w:after="160" w:line="278" w:lineRule="auto"/>
        <w:ind w:left="720"/>
        <w:jc w:val="both"/>
        <w:rPr>
          <w:rFonts w:ascii="Arial" w:eastAsia="Arial" w:hAnsi="Arial" w:cs="Arial"/>
          <w:sz w:val="22"/>
          <w:szCs w:val="22"/>
        </w:rPr>
      </w:pPr>
      <w:r>
        <w:rPr>
          <w:rFonts w:ascii="Arial" w:eastAsia="Arial" w:hAnsi="Arial" w:cs="Arial"/>
          <w:sz w:val="22"/>
          <w:szCs w:val="22"/>
        </w:rPr>
        <w:t>2) exclusión social, económica y espacial a pesar de su inserción en los circuitos mercantiles;</w:t>
      </w:r>
    </w:p>
    <w:p w:rsidR="0010066B" w:rsidRDefault="00F432AA">
      <w:pPr>
        <w:spacing w:after="160" w:line="278" w:lineRule="auto"/>
        <w:ind w:left="720"/>
        <w:jc w:val="both"/>
        <w:rPr>
          <w:rFonts w:ascii="Arial" w:eastAsia="Arial" w:hAnsi="Arial" w:cs="Arial"/>
          <w:sz w:val="22"/>
          <w:szCs w:val="22"/>
        </w:rPr>
      </w:pPr>
      <w:r>
        <w:rPr>
          <w:rFonts w:ascii="Arial" w:eastAsia="Arial" w:hAnsi="Arial" w:cs="Arial"/>
          <w:sz w:val="22"/>
          <w:szCs w:val="22"/>
        </w:rPr>
        <w:t xml:space="preserve"> 3) carencia de remuneración y de protección social; y </w:t>
      </w:r>
    </w:p>
    <w:p w:rsidR="0010066B" w:rsidRDefault="00F432AA">
      <w:pPr>
        <w:spacing w:after="160" w:line="278" w:lineRule="auto"/>
        <w:ind w:left="720"/>
        <w:jc w:val="both"/>
        <w:rPr>
          <w:rFonts w:ascii="Arial" w:eastAsia="Arial" w:hAnsi="Arial" w:cs="Arial"/>
          <w:sz w:val="22"/>
          <w:szCs w:val="22"/>
        </w:rPr>
      </w:pPr>
      <w:r>
        <w:rPr>
          <w:rFonts w:ascii="Arial" w:eastAsia="Arial" w:hAnsi="Arial" w:cs="Arial"/>
          <w:sz w:val="22"/>
          <w:szCs w:val="22"/>
        </w:rPr>
        <w:t>4) falta de reconocimiento del trabajo de la mujer y de su papel en la reproducción social de la fuerza de trabajo, de la familia y del sistema económico”</w:t>
      </w:r>
    </w:p>
    <w:p w:rsidR="0010066B" w:rsidRDefault="0010066B">
      <w:pPr>
        <w:rPr>
          <w:rFonts w:ascii="Arial" w:eastAsia="Arial" w:hAnsi="Arial" w:cs="Arial"/>
          <w:b/>
          <w:highlight w:val="yellow"/>
        </w:rPr>
      </w:pP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Por su parte, el Plan Nacional de Desarrollo 2022 – 2026 “Colombia Potencia Mundial de la Vida” cuenta con cinco ejes de transformación que en su orden son: Ordenamiento del territorio alrededor del agua, seguridad humana y justicia social, derecho humano a la alimentación, transformación productiva, internacionalización y acción climática y convergencia regional. De otra parte, la estabilidad macroeconómica es uno de sus ejes transversales, literalmente;</w:t>
      </w:r>
    </w:p>
    <w:p w:rsidR="0010066B" w:rsidRDefault="00F432AA">
      <w:pPr>
        <w:pBdr>
          <w:top w:val="nil"/>
          <w:left w:val="nil"/>
          <w:bottom w:val="nil"/>
          <w:right w:val="nil"/>
          <w:between w:val="nil"/>
        </w:pBdr>
        <w:shd w:val="clear" w:color="auto" w:fill="FFFFFF"/>
        <w:spacing w:line="276" w:lineRule="auto"/>
        <w:ind w:left="720"/>
        <w:jc w:val="both"/>
        <w:rPr>
          <w:rFonts w:ascii="Arial" w:eastAsia="Arial" w:hAnsi="Arial" w:cs="Arial"/>
          <w:color w:val="000000"/>
          <w:sz w:val="22"/>
          <w:szCs w:val="22"/>
        </w:rPr>
      </w:pPr>
      <w:r>
        <w:rPr>
          <w:rFonts w:ascii="Arial" w:eastAsia="Arial" w:hAnsi="Arial" w:cs="Arial"/>
          <w:color w:val="000000"/>
          <w:sz w:val="22"/>
          <w:szCs w:val="22"/>
        </w:rPr>
        <w:t xml:space="preserve"> “Tiene como objetivo definir un conjunto de apuestas en materia económica para garantizar la disponibilidad de los recursos públicos que permitirán financiar las transformaciones, las cuales están enmarcadas en la actual coyuntura económica global, regional y nacional”.</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En este sentido, la política económica nacional busca la protección de las pequeñas economías, emprendedores y asociaciones populares. Para esto, se definieron en el plan nacional de desarrollo “Colombia Potencia de la Vida”, instrumentos para la inclusión financiera y crediticia de la economía popular, la promoción de las finanzas verdes, la innovación y el emprendimiento e incentivar la educación financiera para acabar con el flagelo del ‘gota a gota’ en el país; por lo tanto consideramos que este tipo de iniciativas normativas en el Concejo de Bogotá le da desarrollo a esta directriz de carácter nacional.</w:t>
      </w:r>
    </w:p>
    <w:p w:rsidR="0010066B" w:rsidRDefault="00F432AA">
      <w:pPr>
        <w:pBdr>
          <w:top w:val="nil"/>
          <w:left w:val="nil"/>
          <w:bottom w:val="nil"/>
          <w:right w:val="nil"/>
          <w:between w:val="nil"/>
        </w:pBdr>
        <w:shd w:val="clear" w:color="auto" w:fill="FFFFFF"/>
        <w:jc w:val="both"/>
        <w:rPr>
          <w:rFonts w:ascii="Arial" w:eastAsia="Arial" w:hAnsi="Arial" w:cs="Arial"/>
          <w:color w:val="000000"/>
          <w:sz w:val="22"/>
          <w:szCs w:val="22"/>
        </w:rPr>
      </w:pPr>
      <w:r>
        <w:rPr>
          <w:rFonts w:ascii="Arial" w:eastAsia="Arial" w:hAnsi="Arial" w:cs="Arial"/>
          <w:color w:val="000000"/>
          <w:sz w:val="22"/>
          <w:szCs w:val="22"/>
        </w:rPr>
        <w:t>De otra parte, en este mismo PND se precisa que,</w:t>
      </w:r>
    </w:p>
    <w:p w:rsidR="0010066B" w:rsidRDefault="0010066B">
      <w:pPr>
        <w:pBdr>
          <w:top w:val="nil"/>
          <w:left w:val="nil"/>
          <w:bottom w:val="nil"/>
          <w:right w:val="nil"/>
          <w:between w:val="nil"/>
        </w:pBdr>
        <w:shd w:val="clear" w:color="auto" w:fill="FFFFFF"/>
        <w:jc w:val="both"/>
        <w:rPr>
          <w:rFonts w:ascii="Arial" w:eastAsia="Arial" w:hAnsi="Arial" w:cs="Arial"/>
          <w:color w:val="000000"/>
          <w:sz w:val="22"/>
          <w:szCs w:val="22"/>
        </w:rPr>
      </w:pPr>
    </w:p>
    <w:p w:rsidR="0010066B" w:rsidRDefault="00F432AA">
      <w:pPr>
        <w:spacing w:after="160" w:line="278" w:lineRule="auto"/>
        <w:ind w:left="720"/>
        <w:jc w:val="both"/>
        <w:rPr>
          <w:rFonts w:ascii="Arial" w:eastAsia="Arial" w:hAnsi="Arial" w:cs="Arial"/>
          <w:sz w:val="22"/>
          <w:szCs w:val="22"/>
        </w:rPr>
      </w:pPr>
      <w:r>
        <w:rPr>
          <w:rFonts w:ascii="Arial" w:eastAsia="Arial" w:hAnsi="Arial" w:cs="Arial"/>
          <w:sz w:val="22"/>
          <w:szCs w:val="22"/>
        </w:rPr>
        <w:t>“La economía popular se refiere a los oficios y ocupaciones mercantiles (producción, distribución y comercialización de bienes y servicios) y no mercantiles (domésticos o comunitarios) desarrollados por unidades económicas de baja escala (personales, familiares, micronegocios o microempresas), en cualquier sector económico. Los actores de la EP pueden realizar sus actividades de manera individual, en unidades económicas, u organizados de manera asociativa. El impulso a la economía popular parte de una comprensión de sus dinámicas intrínsecas. Estas actividades generan valor social y económico significativo, y una vez entendido su funcionamiento y lógica de acción, se implementarán mecanismos que contribuyan a su crecimiento y productividad”.</w:t>
      </w:r>
    </w:p>
    <w:p w:rsidR="0010066B" w:rsidRDefault="00F432AA">
      <w:pPr>
        <w:spacing w:after="160" w:line="278" w:lineRule="auto"/>
        <w:jc w:val="both"/>
        <w:rPr>
          <w:rFonts w:ascii="Arial" w:eastAsia="Arial" w:hAnsi="Arial" w:cs="Arial"/>
          <w:sz w:val="22"/>
          <w:szCs w:val="22"/>
        </w:rPr>
      </w:pPr>
      <w:r>
        <w:rPr>
          <w:rFonts w:ascii="Arial" w:eastAsia="Arial" w:hAnsi="Arial" w:cs="Arial"/>
          <w:sz w:val="22"/>
          <w:szCs w:val="22"/>
        </w:rPr>
        <w:t>En este orden, consideramos que esta iniciativa normativa es importante y oportuna para la ciudad y claramente aporta al fortalecimiento de estas unidades productivas. Por lo anterior, sugerimos fortalecer este proyecto de acuerdo en aspectos relacionados con la generación de actividades de planeación participativa con los comerciantes y con la adopción de criterios de Comercio Justo.</w:t>
      </w:r>
    </w:p>
    <w:p w:rsidR="0010066B" w:rsidRDefault="00F432AA">
      <w:pPr>
        <w:rPr>
          <w:rFonts w:ascii="Arial" w:eastAsia="Arial" w:hAnsi="Arial" w:cs="Arial"/>
          <w:b/>
        </w:rPr>
      </w:pPr>
      <w:r>
        <w:rPr>
          <w:rFonts w:ascii="Arial" w:eastAsia="Arial" w:hAnsi="Arial" w:cs="Arial"/>
          <w:b/>
        </w:rPr>
        <w:t xml:space="preserve">8. CONCLUSIONES </w:t>
      </w:r>
    </w:p>
    <w:p w:rsidR="0010066B" w:rsidRDefault="0010066B">
      <w:pPr>
        <w:rPr>
          <w:rFonts w:ascii="Arial" w:eastAsia="Arial" w:hAnsi="Arial" w:cs="Arial"/>
          <w:b/>
        </w:rPr>
      </w:pPr>
    </w:p>
    <w:p w:rsidR="0010066B" w:rsidRDefault="00F432AA">
      <w:pPr>
        <w:pBdr>
          <w:top w:val="nil"/>
          <w:left w:val="nil"/>
          <w:bottom w:val="nil"/>
          <w:right w:val="nil"/>
          <w:between w:val="nil"/>
        </w:pBdr>
        <w:spacing w:line="276" w:lineRule="auto"/>
        <w:ind w:hanging="2"/>
        <w:jc w:val="both"/>
        <w:rPr>
          <w:rFonts w:ascii="Arial" w:eastAsia="Arial" w:hAnsi="Arial" w:cs="Arial"/>
          <w:b/>
          <w:color w:val="000000"/>
          <w:sz w:val="22"/>
          <w:szCs w:val="22"/>
        </w:rPr>
      </w:pPr>
      <w:r>
        <w:rPr>
          <w:rFonts w:ascii="Arial" w:eastAsia="Arial" w:hAnsi="Arial" w:cs="Arial"/>
          <w:color w:val="000000"/>
          <w:sz w:val="22"/>
          <w:szCs w:val="22"/>
        </w:rPr>
        <w:t xml:space="preserve">Con fundamento en lo expuesto, rindo </w:t>
      </w:r>
      <w:r>
        <w:rPr>
          <w:rFonts w:ascii="Arial" w:eastAsia="Arial" w:hAnsi="Arial" w:cs="Arial"/>
          <w:b/>
          <w:color w:val="000000"/>
          <w:sz w:val="22"/>
          <w:szCs w:val="22"/>
        </w:rPr>
        <w:t>PONENCIA POSITIVA CON MODIFICACIONES</w:t>
      </w:r>
      <w:r>
        <w:rPr>
          <w:rFonts w:ascii="Arial" w:eastAsia="Arial" w:hAnsi="Arial" w:cs="Arial"/>
          <w:color w:val="000000"/>
          <w:sz w:val="22"/>
          <w:szCs w:val="22"/>
        </w:rPr>
        <w:t xml:space="preserve"> del proyecto de acuerdo </w:t>
      </w:r>
      <w:r>
        <w:rPr>
          <w:rFonts w:ascii="Arial" w:eastAsia="Arial" w:hAnsi="Arial" w:cs="Arial"/>
          <w:b/>
          <w:color w:val="000000"/>
          <w:sz w:val="22"/>
          <w:szCs w:val="22"/>
        </w:rPr>
        <w:t xml:space="preserve">No. 092 DE 2025 “POR MEDIO DEL CUAL SE INSTITUCIONALIZA LA “EXPO RESTREPO” COMO UN EVENTO INSIGNIA DEL SECTOR CUERO, CALZADO, MARROQUINERÍA Y AFINES EN EL DISTRITO CAPITAL, Y SE DICTAN OTRAS DISPOSICIONES” </w:t>
      </w:r>
      <w:r>
        <w:rPr>
          <w:rFonts w:ascii="Arial" w:eastAsia="Arial" w:hAnsi="Arial" w:cs="Arial"/>
          <w:color w:val="000000"/>
          <w:sz w:val="22"/>
          <w:szCs w:val="22"/>
        </w:rPr>
        <w:t>para primer debate al interior de la Comisión Primera Permanente de Plan.</w:t>
      </w:r>
    </w:p>
    <w:p w:rsidR="0010066B" w:rsidRDefault="0010066B">
      <w:pPr>
        <w:spacing w:line="276" w:lineRule="auto"/>
        <w:jc w:val="both"/>
        <w:rPr>
          <w:rFonts w:ascii="Arial" w:eastAsia="Arial" w:hAnsi="Arial" w:cs="Arial"/>
        </w:rPr>
      </w:pPr>
    </w:p>
    <w:p w:rsidR="002A5F9D" w:rsidRDefault="002A5F9D">
      <w:pPr>
        <w:spacing w:line="276" w:lineRule="auto"/>
        <w:jc w:val="both"/>
        <w:rPr>
          <w:rFonts w:ascii="Arial" w:eastAsia="Arial" w:hAnsi="Arial" w:cs="Arial"/>
        </w:rPr>
      </w:pPr>
    </w:p>
    <w:p w:rsidR="002A5F9D" w:rsidRPr="002A5F9D" w:rsidRDefault="002A5F9D">
      <w:pPr>
        <w:spacing w:line="276" w:lineRule="auto"/>
        <w:jc w:val="both"/>
        <w:rPr>
          <w:rFonts w:ascii="Arial" w:eastAsia="Arial" w:hAnsi="Arial" w:cs="Arial"/>
          <w:b/>
        </w:rPr>
      </w:pPr>
      <w:r w:rsidRPr="002A5F9D">
        <w:rPr>
          <w:rFonts w:ascii="Arial" w:eastAsia="Arial" w:hAnsi="Arial" w:cs="Arial"/>
          <w:b/>
        </w:rPr>
        <w:t>ANA TERESA BERNAL MONTAÑEZ</w:t>
      </w:r>
    </w:p>
    <w:p w:rsidR="002A5F9D" w:rsidRDefault="002A5F9D">
      <w:pPr>
        <w:spacing w:line="276" w:lineRule="auto"/>
        <w:jc w:val="both"/>
        <w:rPr>
          <w:rFonts w:ascii="Arial" w:eastAsia="Arial" w:hAnsi="Arial" w:cs="Arial"/>
        </w:rPr>
      </w:pPr>
      <w:r>
        <w:rPr>
          <w:rFonts w:ascii="Arial" w:eastAsia="Arial" w:hAnsi="Arial" w:cs="Arial"/>
        </w:rPr>
        <w:t>Concejal Ponente</w:t>
      </w:r>
    </w:p>
    <w:p w:rsidR="002A5F9D" w:rsidRDefault="002A5F9D">
      <w:pPr>
        <w:spacing w:line="276" w:lineRule="auto"/>
        <w:jc w:val="both"/>
        <w:rPr>
          <w:rFonts w:ascii="Arial" w:eastAsia="Arial" w:hAnsi="Arial" w:cs="Arial"/>
        </w:rPr>
      </w:pPr>
    </w:p>
    <w:p w:rsidR="0010066B" w:rsidRDefault="0010066B">
      <w:pPr>
        <w:spacing w:line="276" w:lineRule="auto"/>
        <w:ind w:hanging="2"/>
        <w:jc w:val="both"/>
        <w:rPr>
          <w:rFonts w:ascii="Arial" w:eastAsia="Arial" w:hAnsi="Arial" w:cs="Arial"/>
        </w:rPr>
      </w:pPr>
    </w:p>
    <w:p w:rsidR="0010066B" w:rsidRDefault="0010066B">
      <w:pPr>
        <w:spacing w:line="276" w:lineRule="auto"/>
        <w:ind w:hanging="2"/>
        <w:jc w:val="both"/>
        <w:rPr>
          <w:rFonts w:ascii="Arial" w:eastAsia="Arial" w:hAnsi="Arial" w:cs="Arial"/>
        </w:rPr>
      </w:pPr>
    </w:p>
    <w:p w:rsidR="0010066B" w:rsidRDefault="00F432AA">
      <w:pPr>
        <w:tabs>
          <w:tab w:val="left" w:pos="284"/>
        </w:tabs>
        <w:spacing w:line="276" w:lineRule="auto"/>
        <w:jc w:val="center"/>
        <w:rPr>
          <w:rFonts w:ascii="Arial" w:eastAsia="Arial" w:hAnsi="Arial" w:cs="Arial"/>
          <w:b/>
          <w:sz w:val="22"/>
          <w:szCs w:val="22"/>
          <w:highlight w:val="white"/>
        </w:rPr>
      </w:pPr>
      <w:r>
        <w:rPr>
          <w:rFonts w:ascii="Arial" w:eastAsia="Arial" w:hAnsi="Arial" w:cs="Arial"/>
          <w:b/>
        </w:rPr>
        <w:t>PLIEGO CON MODIFICACIONES</w:t>
      </w:r>
    </w:p>
    <w:p w:rsidR="0010066B" w:rsidRDefault="0010066B">
      <w:pPr>
        <w:pBdr>
          <w:top w:val="nil"/>
          <w:left w:val="nil"/>
          <w:bottom w:val="nil"/>
          <w:right w:val="nil"/>
          <w:between w:val="nil"/>
        </w:pBdr>
        <w:tabs>
          <w:tab w:val="left" w:pos="284"/>
        </w:tabs>
        <w:spacing w:line="276" w:lineRule="auto"/>
        <w:jc w:val="center"/>
        <w:rPr>
          <w:rFonts w:ascii="Arial" w:eastAsia="Arial" w:hAnsi="Arial" w:cs="Arial"/>
          <w:b/>
          <w:sz w:val="22"/>
          <w:szCs w:val="22"/>
        </w:rPr>
      </w:pPr>
    </w:p>
    <w:p w:rsidR="0010066B" w:rsidRDefault="0010066B">
      <w:pPr>
        <w:spacing w:line="276" w:lineRule="auto"/>
        <w:ind w:hanging="2"/>
        <w:jc w:val="both"/>
        <w:rPr>
          <w:rFonts w:ascii="Arial" w:eastAsia="Arial" w:hAnsi="Arial" w:cs="Arial"/>
        </w:rPr>
      </w:pPr>
    </w:p>
    <w:p w:rsidR="0010066B" w:rsidRDefault="00F432AA">
      <w:pPr>
        <w:pBdr>
          <w:top w:val="nil"/>
          <w:left w:val="nil"/>
          <w:bottom w:val="nil"/>
          <w:right w:val="nil"/>
          <w:between w:val="nil"/>
        </w:pBdr>
        <w:ind w:hanging="2"/>
        <w:jc w:val="center"/>
        <w:rPr>
          <w:rFonts w:ascii="Arial" w:eastAsia="Arial" w:hAnsi="Arial" w:cs="Arial"/>
          <w:b/>
          <w:color w:val="000000"/>
          <w:sz w:val="22"/>
          <w:szCs w:val="22"/>
        </w:rPr>
      </w:pPr>
      <w:r>
        <w:rPr>
          <w:rFonts w:ascii="Arial" w:eastAsia="Arial" w:hAnsi="Arial" w:cs="Arial"/>
          <w:b/>
          <w:color w:val="000000"/>
          <w:sz w:val="22"/>
          <w:szCs w:val="22"/>
        </w:rPr>
        <w:t>PROYECTO DE ACUERDO 092 DE 2025</w:t>
      </w:r>
    </w:p>
    <w:p w:rsidR="0010066B" w:rsidRDefault="00F432AA">
      <w:pPr>
        <w:pBdr>
          <w:top w:val="nil"/>
          <w:left w:val="nil"/>
          <w:bottom w:val="nil"/>
          <w:right w:val="nil"/>
          <w:between w:val="nil"/>
        </w:pBdr>
        <w:ind w:hanging="2"/>
        <w:jc w:val="center"/>
        <w:rPr>
          <w:rFonts w:ascii="Arial" w:eastAsia="Arial" w:hAnsi="Arial" w:cs="Arial"/>
          <w:b/>
          <w:color w:val="000000"/>
          <w:sz w:val="22"/>
          <w:szCs w:val="22"/>
        </w:rPr>
      </w:pPr>
      <w:r>
        <w:rPr>
          <w:rFonts w:ascii="Arial" w:eastAsia="Arial" w:hAnsi="Arial" w:cs="Arial"/>
          <w:b/>
          <w:color w:val="000000"/>
          <w:sz w:val="22"/>
          <w:szCs w:val="22"/>
        </w:rPr>
        <w:t>“Por medio del cual se institucionaliza la “Expo Restrepo” como un evento insignia del sector cuero, calzado, marroquinería y afines en el Distrito Capital, y se dictan otras disposiciones.”</w:t>
      </w:r>
    </w:p>
    <w:p w:rsidR="0010066B" w:rsidRDefault="0010066B">
      <w:pPr>
        <w:pBdr>
          <w:top w:val="nil"/>
          <w:left w:val="nil"/>
          <w:bottom w:val="nil"/>
          <w:right w:val="nil"/>
          <w:between w:val="nil"/>
        </w:pBdr>
        <w:ind w:hanging="2"/>
        <w:jc w:val="center"/>
        <w:rPr>
          <w:rFonts w:ascii="Arial" w:eastAsia="Arial" w:hAnsi="Arial" w:cs="Arial"/>
          <w:b/>
          <w:sz w:val="22"/>
          <w:szCs w:val="22"/>
        </w:rPr>
      </w:pPr>
    </w:p>
    <w:tbl>
      <w:tblPr>
        <w:tblStyle w:val="a"/>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5"/>
        <w:gridCol w:w="4675"/>
      </w:tblGrid>
      <w:tr w:rsidR="0010066B">
        <w:tc>
          <w:tcPr>
            <w:tcW w:w="4675" w:type="dxa"/>
          </w:tcPr>
          <w:p w:rsidR="0010066B" w:rsidRDefault="00F432AA">
            <w:pPr>
              <w:spacing w:before="240" w:after="160" w:line="256" w:lineRule="auto"/>
              <w:jc w:val="center"/>
              <w:rPr>
                <w:rFonts w:ascii="Arial" w:eastAsia="Arial" w:hAnsi="Arial" w:cs="Arial"/>
                <w:b/>
                <w:sz w:val="22"/>
                <w:szCs w:val="22"/>
              </w:rPr>
            </w:pPr>
            <w:r>
              <w:rPr>
                <w:rFonts w:ascii="Arial" w:eastAsia="Arial" w:hAnsi="Arial" w:cs="Arial"/>
                <w:b/>
                <w:sz w:val="22"/>
                <w:szCs w:val="22"/>
              </w:rPr>
              <w:t>ARTICULO ORIGINAL</w:t>
            </w:r>
          </w:p>
        </w:tc>
        <w:tc>
          <w:tcPr>
            <w:tcW w:w="4675" w:type="dxa"/>
          </w:tcPr>
          <w:p w:rsidR="0010066B" w:rsidRDefault="00F432AA">
            <w:pPr>
              <w:spacing w:before="240" w:after="160" w:line="256" w:lineRule="auto"/>
              <w:jc w:val="center"/>
              <w:rPr>
                <w:rFonts w:ascii="Arial" w:eastAsia="Arial" w:hAnsi="Arial" w:cs="Arial"/>
                <w:b/>
                <w:sz w:val="22"/>
                <w:szCs w:val="22"/>
              </w:rPr>
            </w:pPr>
            <w:r>
              <w:rPr>
                <w:rFonts w:ascii="Arial" w:eastAsia="Arial" w:hAnsi="Arial" w:cs="Arial"/>
                <w:b/>
                <w:sz w:val="22"/>
                <w:szCs w:val="22"/>
              </w:rPr>
              <w:t>MODIFICACIÓN</w:t>
            </w:r>
          </w:p>
        </w:tc>
      </w:tr>
      <w:tr w:rsidR="0010066B">
        <w:tc>
          <w:tcPr>
            <w:tcW w:w="4675" w:type="dxa"/>
          </w:tcPr>
          <w:p w:rsidR="0010066B" w:rsidRDefault="00F432AA">
            <w:pPr>
              <w:tabs>
                <w:tab w:val="left" w:pos="284"/>
              </w:tabs>
              <w:spacing w:line="276" w:lineRule="auto"/>
              <w:jc w:val="both"/>
              <w:rPr>
                <w:rFonts w:ascii="Arial" w:eastAsia="Arial" w:hAnsi="Arial" w:cs="Arial"/>
                <w:sz w:val="22"/>
                <w:szCs w:val="22"/>
                <w:highlight w:val="white"/>
              </w:rPr>
            </w:pPr>
            <w:r>
              <w:rPr>
                <w:rFonts w:ascii="Arial" w:eastAsia="Arial" w:hAnsi="Arial" w:cs="Arial"/>
                <w:b/>
                <w:sz w:val="22"/>
                <w:szCs w:val="22"/>
                <w:highlight w:val="white"/>
              </w:rPr>
              <w:t xml:space="preserve">ARTÍCULO 1. OBJETO. </w:t>
            </w:r>
            <w:r>
              <w:rPr>
                <w:rFonts w:ascii="Arial" w:eastAsia="Arial" w:hAnsi="Arial" w:cs="Arial"/>
                <w:sz w:val="22"/>
                <w:szCs w:val="22"/>
                <w:highlight w:val="white"/>
              </w:rPr>
              <w:t xml:space="preserve">El presente Acuerdo tiene por objeto Institucionalizar la “Expo Restrepo” </w:t>
            </w:r>
            <w:r>
              <w:rPr>
                <w:rFonts w:ascii="Arial" w:eastAsia="Arial" w:hAnsi="Arial" w:cs="Arial"/>
                <w:sz w:val="22"/>
                <w:szCs w:val="22"/>
              </w:rPr>
              <w:t xml:space="preserve">como un evento insignia del sector cuero, calzado, marroquinería y afines en el Distrito Capital, el cual se realizará anualmente en el Parque de la 93 durante el mes de noviembre. </w:t>
            </w:r>
          </w:p>
          <w:p w:rsidR="0010066B" w:rsidRDefault="0010066B">
            <w:pPr>
              <w:tabs>
                <w:tab w:val="left" w:pos="284"/>
              </w:tabs>
              <w:spacing w:line="276" w:lineRule="auto"/>
              <w:jc w:val="both"/>
              <w:rPr>
                <w:rFonts w:ascii="Arial" w:eastAsia="Arial" w:hAnsi="Arial" w:cs="Arial"/>
                <w:sz w:val="22"/>
                <w:szCs w:val="22"/>
                <w:highlight w:val="white"/>
              </w:rPr>
            </w:pPr>
          </w:p>
        </w:tc>
        <w:tc>
          <w:tcPr>
            <w:tcW w:w="4675" w:type="dxa"/>
          </w:tcPr>
          <w:p w:rsidR="0010066B" w:rsidRDefault="00F432AA">
            <w:pPr>
              <w:tabs>
                <w:tab w:val="left" w:pos="284"/>
              </w:tabs>
              <w:spacing w:line="276" w:lineRule="auto"/>
              <w:jc w:val="both"/>
              <w:rPr>
                <w:rFonts w:ascii="Arial" w:eastAsia="Arial" w:hAnsi="Arial" w:cs="Arial"/>
                <w:sz w:val="22"/>
                <w:szCs w:val="22"/>
              </w:rPr>
            </w:pPr>
            <w:r>
              <w:rPr>
                <w:rFonts w:ascii="Arial" w:eastAsia="Arial" w:hAnsi="Arial" w:cs="Arial"/>
                <w:b/>
                <w:sz w:val="22"/>
                <w:szCs w:val="22"/>
                <w:highlight w:val="white"/>
              </w:rPr>
              <w:t xml:space="preserve">ARTÍCULO 1. OBJETO. </w:t>
            </w:r>
            <w:r>
              <w:rPr>
                <w:rFonts w:ascii="Arial" w:eastAsia="Arial" w:hAnsi="Arial" w:cs="Arial"/>
                <w:sz w:val="22"/>
                <w:szCs w:val="22"/>
                <w:highlight w:val="white"/>
              </w:rPr>
              <w:t xml:space="preserve">El presente Acuerdo tiene por objeto Institucionalizar la “Expo Restrepo” </w:t>
            </w:r>
            <w:r>
              <w:rPr>
                <w:rFonts w:ascii="Arial" w:eastAsia="Arial" w:hAnsi="Arial" w:cs="Arial"/>
                <w:sz w:val="22"/>
                <w:szCs w:val="22"/>
              </w:rPr>
              <w:t>como un evento insignia del sector cuero, calzado, marroquinería y afines en el Distrito Capital,  el cual se realizará anualmente en el Parque de la 93 durante el mes de noviembre.</w:t>
            </w:r>
          </w:p>
          <w:p w:rsidR="0010066B" w:rsidRDefault="0010066B">
            <w:pPr>
              <w:tabs>
                <w:tab w:val="left" w:pos="284"/>
              </w:tabs>
              <w:spacing w:line="276" w:lineRule="auto"/>
              <w:jc w:val="both"/>
              <w:rPr>
                <w:rFonts w:ascii="Arial" w:eastAsia="Arial" w:hAnsi="Arial" w:cs="Arial"/>
                <w:sz w:val="22"/>
                <w:szCs w:val="22"/>
              </w:rPr>
            </w:pPr>
          </w:p>
          <w:p w:rsidR="0010066B" w:rsidRDefault="00F432AA">
            <w:pPr>
              <w:tabs>
                <w:tab w:val="left" w:pos="284"/>
              </w:tabs>
              <w:spacing w:line="276" w:lineRule="auto"/>
              <w:jc w:val="both"/>
              <w:rPr>
                <w:rFonts w:ascii="Arial" w:eastAsia="Arial" w:hAnsi="Arial" w:cs="Arial"/>
                <w:b/>
                <w:color w:val="FF0000"/>
                <w:sz w:val="22"/>
                <w:szCs w:val="22"/>
                <w:highlight w:val="white"/>
                <w:u w:val="single"/>
              </w:rPr>
            </w:pPr>
            <w:r>
              <w:rPr>
                <w:rFonts w:ascii="Arial" w:eastAsia="Arial" w:hAnsi="Arial" w:cs="Arial"/>
                <w:b/>
                <w:color w:val="FF0000"/>
                <w:sz w:val="22"/>
                <w:szCs w:val="22"/>
                <w:u w:val="single"/>
              </w:rPr>
              <w:t>Parágrafo: Se vincularán en condiciones de igualdad en la feria “Expo Restrepo” a pequeños emprendedores y unidades productivas en informalidad.</w:t>
            </w:r>
          </w:p>
          <w:p w:rsidR="0010066B" w:rsidRDefault="0010066B">
            <w:pPr>
              <w:spacing w:before="240" w:after="160" w:line="256" w:lineRule="auto"/>
              <w:jc w:val="center"/>
              <w:rPr>
                <w:b/>
                <w:sz w:val="22"/>
                <w:szCs w:val="22"/>
              </w:rPr>
            </w:pPr>
            <w:bookmarkStart w:id="3" w:name="_heading=h.gjdgxs" w:colFirst="0" w:colLast="0"/>
            <w:bookmarkEnd w:id="3"/>
          </w:p>
        </w:tc>
      </w:tr>
      <w:tr w:rsidR="0010066B">
        <w:tc>
          <w:tcPr>
            <w:tcW w:w="4675" w:type="dxa"/>
          </w:tcPr>
          <w:p w:rsidR="0010066B" w:rsidRDefault="00F432AA">
            <w:pPr>
              <w:tabs>
                <w:tab w:val="left" w:pos="284"/>
              </w:tabs>
              <w:spacing w:line="276" w:lineRule="auto"/>
              <w:jc w:val="both"/>
              <w:rPr>
                <w:rFonts w:ascii="Arial" w:eastAsia="Arial" w:hAnsi="Arial" w:cs="Arial"/>
                <w:sz w:val="22"/>
                <w:szCs w:val="22"/>
                <w:highlight w:val="white"/>
              </w:rPr>
            </w:pPr>
            <w:r>
              <w:rPr>
                <w:rFonts w:ascii="Arial" w:eastAsia="Arial" w:hAnsi="Arial" w:cs="Arial"/>
                <w:b/>
                <w:sz w:val="22"/>
                <w:szCs w:val="22"/>
                <w:highlight w:val="white"/>
              </w:rPr>
              <w:t xml:space="preserve">ARTÍCULO 2. OBJETIVOS. </w:t>
            </w:r>
            <w:r>
              <w:rPr>
                <w:rFonts w:ascii="Arial" w:eastAsia="Arial" w:hAnsi="Arial" w:cs="Arial"/>
                <w:sz w:val="22"/>
                <w:szCs w:val="22"/>
                <w:highlight w:val="white"/>
              </w:rPr>
              <w:t>La feria “Expo Restrepo” tendrá como objetivos:</w:t>
            </w:r>
          </w:p>
          <w:p w:rsidR="0010066B" w:rsidRDefault="00F432AA">
            <w:pPr>
              <w:numPr>
                <w:ilvl w:val="0"/>
                <w:numId w:val="4"/>
              </w:numPr>
              <w:tabs>
                <w:tab w:val="left" w:pos="284"/>
              </w:tabs>
              <w:spacing w:before="240" w:line="276" w:lineRule="auto"/>
              <w:jc w:val="both"/>
              <w:rPr>
                <w:rFonts w:ascii="Arial" w:eastAsia="Arial" w:hAnsi="Arial" w:cs="Arial"/>
                <w:sz w:val="22"/>
                <w:szCs w:val="22"/>
                <w:highlight w:val="white"/>
              </w:rPr>
            </w:pPr>
            <w:r>
              <w:rPr>
                <w:rFonts w:ascii="Arial" w:eastAsia="Arial" w:hAnsi="Arial" w:cs="Arial"/>
                <w:sz w:val="22"/>
                <w:szCs w:val="22"/>
                <w:highlight w:val="white"/>
              </w:rPr>
              <w:t xml:space="preserve">Promover el desarrollo económico de los empresarios del sector cuero, calzado, marroquinería y afines, con énfasis en su </w:t>
            </w:r>
            <w:proofErr w:type="spellStart"/>
            <w:r>
              <w:rPr>
                <w:rFonts w:ascii="Arial" w:eastAsia="Arial" w:hAnsi="Arial" w:cs="Arial"/>
                <w:sz w:val="22"/>
                <w:szCs w:val="22"/>
                <w:highlight w:val="white"/>
              </w:rPr>
              <w:t>visibilización</w:t>
            </w:r>
            <w:proofErr w:type="spellEnd"/>
            <w:r>
              <w:rPr>
                <w:rFonts w:ascii="Arial" w:eastAsia="Arial" w:hAnsi="Arial" w:cs="Arial"/>
                <w:sz w:val="22"/>
                <w:szCs w:val="22"/>
                <w:highlight w:val="white"/>
              </w:rPr>
              <w:t xml:space="preserve"> y fortalecimiento.</w:t>
            </w:r>
          </w:p>
          <w:p w:rsidR="0010066B" w:rsidRDefault="00F432AA">
            <w:pPr>
              <w:numPr>
                <w:ilvl w:val="0"/>
                <w:numId w:val="4"/>
              </w:numPr>
              <w:tabs>
                <w:tab w:val="left" w:pos="284"/>
                <w:tab w:val="left" w:pos="3828"/>
              </w:tabs>
              <w:spacing w:line="276" w:lineRule="auto"/>
              <w:jc w:val="both"/>
              <w:rPr>
                <w:rFonts w:ascii="Arial" w:eastAsia="Arial" w:hAnsi="Arial" w:cs="Arial"/>
                <w:sz w:val="22"/>
                <w:szCs w:val="22"/>
                <w:highlight w:val="white"/>
              </w:rPr>
            </w:pPr>
            <w:r>
              <w:rPr>
                <w:rFonts w:ascii="Arial" w:eastAsia="Arial" w:hAnsi="Arial" w:cs="Arial"/>
                <w:sz w:val="22"/>
                <w:szCs w:val="22"/>
                <w:highlight w:val="white"/>
              </w:rPr>
              <w:t>Generar espacios de comercialización e innovación para los productos de este sector estratégico.</w:t>
            </w:r>
          </w:p>
          <w:p w:rsidR="0010066B" w:rsidRDefault="00F432AA">
            <w:pPr>
              <w:numPr>
                <w:ilvl w:val="0"/>
                <w:numId w:val="4"/>
              </w:numPr>
              <w:tabs>
                <w:tab w:val="left" w:pos="284"/>
              </w:tabs>
              <w:spacing w:after="240" w:line="276" w:lineRule="auto"/>
              <w:jc w:val="both"/>
              <w:rPr>
                <w:rFonts w:ascii="Arial" w:eastAsia="Arial" w:hAnsi="Arial" w:cs="Arial"/>
                <w:sz w:val="22"/>
                <w:szCs w:val="22"/>
                <w:highlight w:val="white"/>
              </w:rPr>
            </w:pPr>
            <w:r>
              <w:rPr>
                <w:rFonts w:ascii="Arial" w:eastAsia="Arial" w:hAnsi="Arial" w:cs="Arial"/>
                <w:sz w:val="22"/>
                <w:szCs w:val="22"/>
                <w:highlight w:val="white"/>
              </w:rPr>
              <w:t>Difundir la riqueza cultural y artesanal asociada a estas actividades, fortaleciendo su tradición y posicionamiento a nivel distrital y nacional.</w:t>
            </w:r>
          </w:p>
          <w:p w:rsidR="0010066B" w:rsidRDefault="0010066B">
            <w:pPr>
              <w:spacing w:before="240" w:after="160" w:line="256" w:lineRule="auto"/>
              <w:jc w:val="both"/>
              <w:rPr>
                <w:b/>
                <w:sz w:val="22"/>
                <w:szCs w:val="22"/>
              </w:rPr>
            </w:pPr>
          </w:p>
        </w:tc>
        <w:tc>
          <w:tcPr>
            <w:tcW w:w="4675" w:type="dxa"/>
          </w:tcPr>
          <w:p w:rsidR="0010066B" w:rsidRDefault="00F432AA">
            <w:pPr>
              <w:tabs>
                <w:tab w:val="left" w:pos="284"/>
              </w:tabs>
              <w:spacing w:line="276" w:lineRule="auto"/>
              <w:jc w:val="both"/>
              <w:rPr>
                <w:rFonts w:ascii="Arial" w:eastAsia="Arial" w:hAnsi="Arial" w:cs="Arial"/>
                <w:sz w:val="22"/>
                <w:szCs w:val="22"/>
                <w:highlight w:val="white"/>
              </w:rPr>
            </w:pPr>
            <w:r>
              <w:rPr>
                <w:rFonts w:ascii="Arial" w:eastAsia="Arial" w:hAnsi="Arial" w:cs="Arial"/>
                <w:b/>
                <w:sz w:val="22"/>
                <w:szCs w:val="22"/>
                <w:highlight w:val="white"/>
              </w:rPr>
              <w:t xml:space="preserve">ARTÍCULO 2. OBJETIVOS. </w:t>
            </w:r>
            <w:r>
              <w:rPr>
                <w:rFonts w:ascii="Arial" w:eastAsia="Arial" w:hAnsi="Arial" w:cs="Arial"/>
                <w:sz w:val="22"/>
                <w:szCs w:val="22"/>
                <w:highlight w:val="white"/>
              </w:rPr>
              <w:t>La feria “Expo Restrepo” tendrá como objetivos:</w:t>
            </w:r>
          </w:p>
          <w:p w:rsidR="0010066B" w:rsidRDefault="00F432AA">
            <w:pPr>
              <w:numPr>
                <w:ilvl w:val="0"/>
                <w:numId w:val="5"/>
              </w:numPr>
              <w:tabs>
                <w:tab w:val="left" w:pos="284"/>
              </w:tabs>
              <w:spacing w:before="240" w:line="276" w:lineRule="auto"/>
              <w:jc w:val="both"/>
              <w:rPr>
                <w:rFonts w:ascii="Arial" w:eastAsia="Arial" w:hAnsi="Arial" w:cs="Arial"/>
                <w:sz w:val="22"/>
                <w:szCs w:val="22"/>
                <w:highlight w:val="white"/>
              </w:rPr>
            </w:pPr>
            <w:r>
              <w:rPr>
                <w:rFonts w:ascii="Arial" w:eastAsia="Arial" w:hAnsi="Arial" w:cs="Arial"/>
                <w:sz w:val="22"/>
                <w:szCs w:val="22"/>
                <w:highlight w:val="white"/>
              </w:rPr>
              <w:t xml:space="preserve">Promover el desarrollo económico de los empresarios del sector cuero, calzado, marroquinería y afines, con énfasis en su </w:t>
            </w:r>
            <w:proofErr w:type="spellStart"/>
            <w:r>
              <w:rPr>
                <w:rFonts w:ascii="Arial" w:eastAsia="Arial" w:hAnsi="Arial" w:cs="Arial"/>
                <w:sz w:val="22"/>
                <w:szCs w:val="22"/>
                <w:highlight w:val="white"/>
              </w:rPr>
              <w:t>visibilización</w:t>
            </w:r>
            <w:proofErr w:type="spellEnd"/>
            <w:r>
              <w:rPr>
                <w:rFonts w:ascii="Arial" w:eastAsia="Arial" w:hAnsi="Arial" w:cs="Arial"/>
                <w:sz w:val="22"/>
                <w:szCs w:val="22"/>
                <w:highlight w:val="white"/>
              </w:rPr>
              <w:t xml:space="preserve"> y fortalecimiento.</w:t>
            </w:r>
          </w:p>
          <w:p w:rsidR="0010066B" w:rsidRDefault="00F432AA">
            <w:pPr>
              <w:numPr>
                <w:ilvl w:val="0"/>
                <w:numId w:val="5"/>
              </w:numPr>
              <w:tabs>
                <w:tab w:val="left" w:pos="284"/>
                <w:tab w:val="left" w:pos="3828"/>
              </w:tabs>
              <w:spacing w:line="276" w:lineRule="auto"/>
              <w:jc w:val="both"/>
              <w:rPr>
                <w:rFonts w:ascii="Arial" w:eastAsia="Arial" w:hAnsi="Arial" w:cs="Arial"/>
                <w:sz w:val="22"/>
                <w:szCs w:val="22"/>
                <w:highlight w:val="white"/>
              </w:rPr>
            </w:pPr>
            <w:r>
              <w:rPr>
                <w:rFonts w:ascii="Arial" w:eastAsia="Arial" w:hAnsi="Arial" w:cs="Arial"/>
                <w:sz w:val="22"/>
                <w:szCs w:val="22"/>
                <w:highlight w:val="white"/>
              </w:rPr>
              <w:t xml:space="preserve">Generar espacios de comercialización e innovación para los productos de este sector estratégico </w:t>
            </w:r>
            <w:r>
              <w:rPr>
                <w:rFonts w:ascii="Arial" w:eastAsia="Arial" w:hAnsi="Arial" w:cs="Arial"/>
                <w:b/>
                <w:color w:val="FF0000"/>
                <w:sz w:val="22"/>
                <w:szCs w:val="22"/>
                <w:highlight w:val="white"/>
                <w:u w:val="single"/>
              </w:rPr>
              <w:t>con actores locales, nacionales e internacionales.</w:t>
            </w:r>
          </w:p>
          <w:p w:rsidR="0010066B" w:rsidRDefault="00F432AA">
            <w:pPr>
              <w:numPr>
                <w:ilvl w:val="0"/>
                <w:numId w:val="5"/>
              </w:numPr>
              <w:tabs>
                <w:tab w:val="left" w:pos="284"/>
              </w:tabs>
              <w:spacing w:after="240" w:line="276" w:lineRule="auto"/>
              <w:jc w:val="both"/>
              <w:rPr>
                <w:rFonts w:ascii="Arial" w:eastAsia="Arial" w:hAnsi="Arial" w:cs="Arial"/>
                <w:sz w:val="22"/>
                <w:szCs w:val="22"/>
                <w:highlight w:val="white"/>
              </w:rPr>
            </w:pPr>
            <w:r>
              <w:rPr>
                <w:rFonts w:ascii="Arial" w:eastAsia="Arial" w:hAnsi="Arial" w:cs="Arial"/>
                <w:sz w:val="22"/>
                <w:szCs w:val="22"/>
                <w:highlight w:val="white"/>
              </w:rPr>
              <w:t>Difundir la riqueza cultural y artesanal asociada a estas actividades, fortaleciendo su tradición y posicionamiento a nivel distrital y nacional.</w:t>
            </w:r>
          </w:p>
          <w:p w:rsidR="0010066B" w:rsidRDefault="00F432AA">
            <w:pPr>
              <w:numPr>
                <w:ilvl w:val="0"/>
                <w:numId w:val="5"/>
              </w:numPr>
              <w:tabs>
                <w:tab w:val="left" w:pos="284"/>
              </w:tabs>
              <w:spacing w:after="240" w:line="276" w:lineRule="auto"/>
              <w:jc w:val="both"/>
              <w:rPr>
                <w:rFonts w:ascii="Arial" w:eastAsia="Arial" w:hAnsi="Arial" w:cs="Arial"/>
                <w:b/>
                <w:color w:val="FF0000"/>
                <w:sz w:val="22"/>
                <w:szCs w:val="22"/>
                <w:highlight w:val="white"/>
                <w:u w:val="single"/>
              </w:rPr>
            </w:pPr>
            <w:r>
              <w:rPr>
                <w:rFonts w:ascii="Arial" w:eastAsia="Arial" w:hAnsi="Arial" w:cs="Arial"/>
                <w:b/>
                <w:color w:val="FF0000"/>
                <w:sz w:val="22"/>
                <w:szCs w:val="22"/>
                <w:highlight w:val="white"/>
                <w:u w:val="single"/>
              </w:rPr>
              <w:t>Implementar medidas de Comercio Justo para el establecimiento de una relación directa entre productores y consumidores y la aplicación de un precio justo.</w:t>
            </w:r>
          </w:p>
          <w:p w:rsidR="0010066B" w:rsidRDefault="00F432AA">
            <w:pPr>
              <w:numPr>
                <w:ilvl w:val="0"/>
                <w:numId w:val="5"/>
              </w:numPr>
              <w:tabs>
                <w:tab w:val="left" w:pos="284"/>
              </w:tabs>
              <w:spacing w:after="240" w:line="276" w:lineRule="auto"/>
              <w:jc w:val="both"/>
              <w:rPr>
                <w:rFonts w:ascii="Arial" w:eastAsia="Arial" w:hAnsi="Arial" w:cs="Arial"/>
                <w:b/>
                <w:color w:val="FF0000"/>
                <w:sz w:val="22"/>
                <w:szCs w:val="22"/>
                <w:highlight w:val="white"/>
                <w:u w:val="single"/>
              </w:rPr>
            </w:pPr>
            <w:r>
              <w:rPr>
                <w:rFonts w:ascii="Arial" w:eastAsia="Arial" w:hAnsi="Arial" w:cs="Arial"/>
                <w:b/>
                <w:color w:val="FF0000"/>
                <w:sz w:val="22"/>
                <w:szCs w:val="22"/>
                <w:highlight w:val="white"/>
                <w:u w:val="single"/>
              </w:rPr>
              <w:t>Adelantar estrategias de marketing y estrategias de comunicación en diálogo con los empresarios, emprendedores y unidades productivas del cuero, calzado y marroquinería del Restrepo</w:t>
            </w:r>
          </w:p>
          <w:p w:rsidR="0010066B" w:rsidRDefault="00F432AA">
            <w:pPr>
              <w:numPr>
                <w:ilvl w:val="0"/>
                <w:numId w:val="5"/>
              </w:numPr>
              <w:tabs>
                <w:tab w:val="left" w:pos="284"/>
              </w:tabs>
              <w:spacing w:after="240" w:line="276" w:lineRule="auto"/>
              <w:jc w:val="both"/>
              <w:rPr>
                <w:rFonts w:ascii="Arial" w:eastAsia="Arial" w:hAnsi="Arial" w:cs="Arial"/>
                <w:b/>
                <w:color w:val="FF0000"/>
                <w:sz w:val="22"/>
                <w:szCs w:val="22"/>
                <w:highlight w:val="white"/>
                <w:u w:val="single"/>
              </w:rPr>
            </w:pPr>
            <w:r>
              <w:rPr>
                <w:rFonts w:ascii="Arial" w:eastAsia="Arial" w:hAnsi="Arial" w:cs="Arial"/>
                <w:b/>
                <w:color w:val="FF0000"/>
                <w:sz w:val="22"/>
                <w:szCs w:val="22"/>
                <w:highlight w:val="white"/>
                <w:u w:val="single"/>
              </w:rPr>
              <w:t xml:space="preserve">Preparar citas de negocios con  la participación de los empresarios, emprendedores y unidades productivas del cuero, calzado y </w:t>
            </w:r>
            <w:proofErr w:type="spellStart"/>
            <w:r>
              <w:rPr>
                <w:rFonts w:ascii="Arial" w:eastAsia="Arial" w:hAnsi="Arial" w:cs="Arial"/>
                <w:b/>
                <w:color w:val="FF0000"/>
                <w:sz w:val="22"/>
                <w:szCs w:val="22"/>
                <w:highlight w:val="white"/>
                <w:u w:val="single"/>
              </w:rPr>
              <w:t>marroquineria</w:t>
            </w:r>
            <w:proofErr w:type="spellEnd"/>
            <w:r>
              <w:rPr>
                <w:rFonts w:ascii="Arial" w:eastAsia="Arial" w:hAnsi="Arial" w:cs="Arial"/>
                <w:b/>
                <w:color w:val="FF0000"/>
                <w:sz w:val="22"/>
                <w:szCs w:val="22"/>
                <w:highlight w:val="white"/>
                <w:u w:val="single"/>
              </w:rPr>
              <w:t xml:space="preserve"> del Restrepo </w:t>
            </w:r>
          </w:p>
          <w:p w:rsidR="0010066B" w:rsidRDefault="0010066B">
            <w:pPr>
              <w:spacing w:before="240" w:after="160" w:line="256" w:lineRule="auto"/>
              <w:jc w:val="both"/>
              <w:rPr>
                <w:sz w:val="22"/>
                <w:szCs w:val="22"/>
              </w:rPr>
            </w:pPr>
          </w:p>
        </w:tc>
      </w:tr>
      <w:tr w:rsidR="0010066B">
        <w:tc>
          <w:tcPr>
            <w:tcW w:w="4675" w:type="dxa"/>
          </w:tcPr>
          <w:p w:rsidR="0010066B" w:rsidRDefault="00F432AA">
            <w:pPr>
              <w:tabs>
                <w:tab w:val="left" w:pos="284"/>
              </w:tabs>
              <w:spacing w:before="240" w:after="240" w:line="276" w:lineRule="auto"/>
              <w:jc w:val="both"/>
              <w:rPr>
                <w:rFonts w:ascii="Arial" w:eastAsia="Arial" w:hAnsi="Arial" w:cs="Arial"/>
                <w:sz w:val="22"/>
                <w:szCs w:val="22"/>
                <w:highlight w:val="white"/>
              </w:rPr>
            </w:pPr>
            <w:r>
              <w:rPr>
                <w:rFonts w:ascii="Arial" w:eastAsia="Arial" w:hAnsi="Arial" w:cs="Arial"/>
                <w:b/>
                <w:sz w:val="22"/>
                <w:szCs w:val="22"/>
                <w:highlight w:val="white"/>
              </w:rPr>
              <w:t xml:space="preserve">ARTÍCULO 4. EVALUACIÓN Y SEGUIMIENTO. </w:t>
            </w:r>
            <w:r>
              <w:rPr>
                <w:rFonts w:ascii="Arial" w:eastAsia="Arial" w:hAnsi="Arial" w:cs="Arial"/>
                <w:sz w:val="22"/>
                <w:szCs w:val="22"/>
                <w:highlight w:val="white"/>
              </w:rPr>
              <w:t>La Secretaría Distrital de Desarrollo Económico, en conjunto con las entidades participantes, deberá presentar un informe anual al Concejo de Bogotá sobre los resultados, impactos, beneficios para los comerciantes y retos del evento “Expo Restrepo”, con el fin de garantizar su sostenibilidad y mejora continua.</w:t>
            </w:r>
          </w:p>
          <w:p w:rsidR="0010066B" w:rsidRDefault="0010066B">
            <w:pPr>
              <w:spacing w:before="240" w:after="160" w:line="256" w:lineRule="auto"/>
              <w:jc w:val="center"/>
              <w:rPr>
                <w:b/>
                <w:sz w:val="22"/>
                <w:szCs w:val="22"/>
              </w:rPr>
            </w:pPr>
          </w:p>
        </w:tc>
        <w:tc>
          <w:tcPr>
            <w:tcW w:w="4675" w:type="dxa"/>
          </w:tcPr>
          <w:p w:rsidR="0010066B" w:rsidRDefault="0010066B">
            <w:pPr>
              <w:spacing w:before="240" w:after="160" w:line="256" w:lineRule="auto"/>
              <w:jc w:val="center"/>
              <w:rPr>
                <w:b/>
                <w:sz w:val="22"/>
                <w:szCs w:val="22"/>
              </w:rPr>
            </w:pPr>
          </w:p>
        </w:tc>
      </w:tr>
      <w:tr w:rsidR="0010066B">
        <w:tc>
          <w:tcPr>
            <w:tcW w:w="4675" w:type="dxa"/>
          </w:tcPr>
          <w:p w:rsidR="0010066B" w:rsidRDefault="00F432AA">
            <w:pPr>
              <w:tabs>
                <w:tab w:val="left" w:pos="284"/>
              </w:tabs>
              <w:spacing w:before="240" w:after="240" w:line="276" w:lineRule="auto"/>
              <w:jc w:val="both"/>
              <w:rPr>
                <w:rFonts w:ascii="Arial" w:eastAsia="Arial" w:hAnsi="Arial" w:cs="Arial"/>
                <w:sz w:val="22"/>
                <w:szCs w:val="22"/>
                <w:highlight w:val="white"/>
              </w:rPr>
            </w:pPr>
            <w:r>
              <w:rPr>
                <w:rFonts w:ascii="Arial" w:eastAsia="Arial" w:hAnsi="Arial" w:cs="Arial"/>
                <w:b/>
                <w:sz w:val="22"/>
                <w:szCs w:val="22"/>
                <w:highlight w:val="white"/>
              </w:rPr>
              <w:t>ARTÍCULO 5. FINANCIACIÓN.</w:t>
            </w:r>
            <w:r>
              <w:rPr>
                <w:rFonts w:ascii="Arial" w:eastAsia="Arial" w:hAnsi="Arial" w:cs="Arial"/>
                <w:sz w:val="22"/>
                <w:szCs w:val="22"/>
                <w:highlight w:val="white"/>
              </w:rPr>
              <w:t xml:space="preserve"> La administración distrital asignará los recursos necesarios para la realización de la “Expo Restrepo” en el marco del presupuesto general del Distrito Capital, sin perjuicio de la posibilidad de gestionar alianzas público-privadas y recursos de cooperación nacional e internacional.</w:t>
            </w:r>
          </w:p>
          <w:p w:rsidR="0010066B" w:rsidRDefault="0010066B">
            <w:pPr>
              <w:spacing w:before="240" w:after="160" w:line="256" w:lineRule="auto"/>
              <w:jc w:val="center"/>
              <w:rPr>
                <w:b/>
                <w:sz w:val="22"/>
                <w:szCs w:val="22"/>
              </w:rPr>
            </w:pPr>
          </w:p>
        </w:tc>
        <w:tc>
          <w:tcPr>
            <w:tcW w:w="4675" w:type="dxa"/>
          </w:tcPr>
          <w:p w:rsidR="0010066B" w:rsidRDefault="0010066B">
            <w:pPr>
              <w:tabs>
                <w:tab w:val="left" w:pos="284"/>
              </w:tabs>
              <w:spacing w:before="240" w:after="240" w:line="276" w:lineRule="auto"/>
              <w:jc w:val="both"/>
              <w:rPr>
                <w:rFonts w:ascii="Arial" w:eastAsia="Arial" w:hAnsi="Arial" w:cs="Arial"/>
                <w:sz w:val="22"/>
                <w:szCs w:val="22"/>
                <w:highlight w:val="white"/>
              </w:rPr>
            </w:pPr>
          </w:p>
          <w:p w:rsidR="0010066B" w:rsidRDefault="0010066B">
            <w:pPr>
              <w:pBdr>
                <w:top w:val="nil"/>
                <w:left w:val="nil"/>
                <w:bottom w:val="nil"/>
                <w:right w:val="nil"/>
                <w:between w:val="nil"/>
              </w:pBdr>
              <w:spacing w:before="240" w:after="160" w:line="256" w:lineRule="auto"/>
              <w:ind w:left="720"/>
              <w:jc w:val="both"/>
              <w:rPr>
                <w:rFonts w:ascii="Calibri" w:eastAsia="Calibri" w:hAnsi="Calibri" w:cs="Calibri"/>
                <w:b/>
                <w:color w:val="000000"/>
                <w:sz w:val="22"/>
                <w:szCs w:val="22"/>
              </w:rPr>
            </w:pPr>
          </w:p>
        </w:tc>
      </w:tr>
      <w:tr w:rsidR="0010066B">
        <w:tc>
          <w:tcPr>
            <w:tcW w:w="4675" w:type="dxa"/>
          </w:tcPr>
          <w:p w:rsidR="0010066B" w:rsidRDefault="00F432AA">
            <w:pPr>
              <w:tabs>
                <w:tab w:val="left" w:pos="284"/>
              </w:tabs>
              <w:spacing w:before="280" w:line="276" w:lineRule="auto"/>
              <w:jc w:val="both"/>
              <w:rPr>
                <w:rFonts w:ascii="Arial" w:eastAsia="Arial" w:hAnsi="Arial" w:cs="Arial"/>
                <w:sz w:val="22"/>
                <w:szCs w:val="22"/>
                <w:highlight w:val="white"/>
              </w:rPr>
            </w:pPr>
            <w:r>
              <w:rPr>
                <w:rFonts w:ascii="Arial" w:eastAsia="Arial" w:hAnsi="Arial" w:cs="Arial"/>
                <w:b/>
                <w:sz w:val="22"/>
                <w:szCs w:val="22"/>
                <w:highlight w:val="white"/>
              </w:rPr>
              <w:t>ARTÍCULO 6. VIGENCIA:</w:t>
            </w:r>
            <w:r>
              <w:rPr>
                <w:rFonts w:ascii="Arial" w:eastAsia="Arial" w:hAnsi="Arial" w:cs="Arial"/>
                <w:sz w:val="22"/>
                <w:szCs w:val="22"/>
                <w:highlight w:val="white"/>
              </w:rPr>
              <w:t xml:space="preserve"> El presente Acuerdo rige a partir de su publicación y deroga las disposiciones que le sean contrarias.</w:t>
            </w:r>
          </w:p>
          <w:p w:rsidR="0010066B" w:rsidRDefault="0010066B">
            <w:pPr>
              <w:tabs>
                <w:tab w:val="left" w:pos="284"/>
              </w:tabs>
              <w:spacing w:line="276" w:lineRule="auto"/>
              <w:rPr>
                <w:rFonts w:ascii="Arial" w:eastAsia="Arial" w:hAnsi="Arial" w:cs="Arial"/>
                <w:sz w:val="22"/>
                <w:szCs w:val="22"/>
              </w:rPr>
            </w:pPr>
          </w:p>
          <w:p w:rsidR="0010066B" w:rsidRDefault="0010066B">
            <w:pPr>
              <w:spacing w:after="160" w:line="278" w:lineRule="auto"/>
              <w:ind w:left="425"/>
            </w:pPr>
          </w:p>
        </w:tc>
        <w:tc>
          <w:tcPr>
            <w:tcW w:w="4675" w:type="dxa"/>
          </w:tcPr>
          <w:p w:rsidR="0010066B" w:rsidRDefault="0010066B">
            <w:pPr>
              <w:tabs>
                <w:tab w:val="left" w:pos="284"/>
              </w:tabs>
              <w:spacing w:before="280" w:line="276" w:lineRule="auto"/>
              <w:jc w:val="both"/>
              <w:rPr>
                <w:rFonts w:ascii="Arial" w:eastAsia="Arial" w:hAnsi="Arial" w:cs="Arial"/>
                <w:sz w:val="22"/>
                <w:szCs w:val="22"/>
                <w:highlight w:val="white"/>
              </w:rPr>
            </w:pPr>
          </w:p>
          <w:p w:rsidR="0010066B" w:rsidRDefault="0010066B">
            <w:pPr>
              <w:tabs>
                <w:tab w:val="left" w:pos="284"/>
              </w:tabs>
              <w:spacing w:line="276" w:lineRule="auto"/>
              <w:rPr>
                <w:rFonts w:ascii="Arial" w:eastAsia="Arial" w:hAnsi="Arial" w:cs="Arial"/>
                <w:sz w:val="22"/>
                <w:szCs w:val="22"/>
              </w:rPr>
            </w:pPr>
          </w:p>
          <w:p w:rsidR="0010066B" w:rsidRDefault="0010066B">
            <w:pPr>
              <w:pBdr>
                <w:top w:val="nil"/>
                <w:left w:val="nil"/>
                <w:bottom w:val="nil"/>
                <w:right w:val="nil"/>
                <w:between w:val="nil"/>
              </w:pBdr>
              <w:spacing w:before="240" w:after="160" w:line="256" w:lineRule="auto"/>
              <w:ind w:left="720"/>
              <w:jc w:val="both"/>
              <w:rPr>
                <w:rFonts w:ascii="Calibri" w:eastAsia="Calibri" w:hAnsi="Calibri" w:cs="Calibri"/>
                <w:color w:val="000000"/>
                <w:sz w:val="22"/>
                <w:szCs w:val="22"/>
                <w:u w:val="single"/>
              </w:rPr>
            </w:pPr>
          </w:p>
        </w:tc>
      </w:tr>
    </w:tbl>
    <w:p w:rsidR="0010066B" w:rsidRDefault="0010066B">
      <w:pPr>
        <w:spacing w:before="240" w:after="160" w:line="256" w:lineRule="auto"/>
        <w:jc w:val="both"/>
        <w:rPr>
          <w:sz w:val="22"/>
          <w:szCs w:val="22"/>
        </w:rPr>
      </w:pPr>
    </w:p>
    <w:p w:rsidR="0010066B" w:rsidRDefault="0010066B">
      <w:pPr>
        <w:spacing w:before="240" w:after="160" w:line="256" w:lineRule="auto"/>
        <w:jc w:val="both"/>
        <w:rPr>
          <w:sz w:val="22"/>
          <w:szCs w:val="22"/>
        </w:rPr>
      </w:pPr>
    </w:p>
    <w:p w:rsidR="0010066B" w:rsidRDefault="00F432AA">
      <w:pPr>
        <w:spacing w:before="240" w:after="160" w:line="254" w:lineRule="auto"/>
        <w:jc w:val="center"/>
        <w:rPr>
          <w:b/>
          <w:sz w:val="22"/>
          <w:szCs w:val="22"/>
        </w:rPr>
      </w:pPr>
      <w:r>
        <w:rPr>
          <w:b/>
          <w:sz w:val="22"/>
          <w:szCs w:val="22"/>
        </w:rPr>
        <w:t>PUBLÍQUESE, COMUNÍQUESE Y CÚMPLASE</w:t>
      </w:r>
    </w:p>
    <w:p w:rsidR="0010066B" w:rsidRDefault="0010066B">
      <w:pPr>
        <w:spacing w:after="160" w:line="256" w:lineRule="auto"/>
        <w:jc w:val="center"/>
        <w:rPr>
          <w:sz w:val="22"/>
          <w:szCs w:val="22"/>
        </w:rPr>
      </w:pPr>
    </w:p>
    <w:p w:rsidR="0010066B" w:rsidRDefault="0010066B">
      <w:pPr>
        <w:spacing w:line="276" w:lineRule="auto"/>
        <w:ind w:hanging="2"/>
        <w:jc w:val="both"/>
        <w:rPr>
          <w:rFonts w:ascii="Arial" w:eastAsia="Arial" w:hAnsi="Arial" w:cs="Arial"/>
        </w:rPr>
      </w:pPr>
    </w:p>
    <w:p w:rsidR="0010066B" w:rsidRDefault="0010066B">
      <w:pPr>
        <w:spacing w:line="276" w:lineRule="auto"/>
        <w:ind w:hanging="2"/>
        <w:jc w:val="both"/>
        <w:rPr>
          <w:rFonts w:ascii="Arial" w:eastAsia="Arial" w:hAnsi="Arial" w:cs="Arial"/>
        </w:rPr>
      </w:pPr>
    </w:p>
    <w:p w:rsidR="0010066B" w:rsidRDefault="0010066B">
      <w:pPr>
        <w:spacing w:line="276" w:lineRule="auto"/>
        <w:ind w:hanging="2"/>
        <w:jc w:val="both"/>
        <w:rPr>
          <w:rFonts w:ascii="Arial" w:eastAsia="Arial" w:hAnsi="Arial" w:cs="Arial"/>
        </w:rPr>
      </w:pPr>
    </w:p>
    <w:sectPr w:rsidR="0010066B">
      <w:headerReference w:type="default" r:id="rId18"/>
      <w:pgSz w:w="12240" w:h="15840"/>
      <w:pgMar w:top="1440" w:right="1440" w:bottom="1440" w:left="1440"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D0DB3" w:rsidRDefault="00CD0DB3">
      <w:r>
        <w:separator/>
      </w:r>
    </w:p>
  </w:endnote>
  <w:endnote w:type="continuationSeparator" w:id="0">
    <w:p w:rsidR="00CD0DB3" w:rsidRDefault="00CD0D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D0DB3" w:rsidRDefault="00CD0DB3">
      <w:r>
        <w:separator/>
      </w:r>
    </w:p>
  </w:footnote>
  <w:footnote w:type="continuationSeparator" w:id="0">
    <w:p w:rsidR="00CD0DB3" w:rsidRDefault="00CD0DB3">
      <w:r>
        <w:continuationSeparator/>
      </w:r>
    </w:p>
  </w:footnote>
  <w:footnote w:id="1">
    <w:p w:rsidR="0010066B" w:rsidRDefault="00F432AA">
      <w:pPr>
        <w:rPr>
          <w:sz w:val="20"/>
          <w:szCs w:val="20"/>
        </w:rPr>
      </w:pPr>
      <w:r>
        <w:rPr>
          <w:vertAlign w:val="superscript"/>
        </w:rPr>
        <w:footnoteRef/>
      </w:r>
      <w:r>
        <w:rPr>
          <w:sz w:val="20"/>
          <w:szCs w:val="20"/>
        </w:rPr>
        <w:t xml:space="preserve"> </w:t>
      </w:r>
      <w:hyperlink r:id="rId1">
        <w:r>
          <w:rPr>
            <w:color w:val="1155CC"/>
            <w:sz w:val="20"/>
            <w:szCs w:val="20"/>
            <w:u w:val="single"/>
          </w:rPr>
          <w:t>https://www.dane.gov.co/files/operaciones/PIB/bol-PIB-IIItrim2024.pdf</w:t>
        </w:r>
      </w:hyperlink>
      <w:r>
        <w:rPr>
          <w:sz w:val="20"/>
          <w:szCs w:val="20"/>
        </w:rPr>
        <w:t xml:space="preserve"> </w:t>
      </w:r>
    </w:p>
  </w:footnote>
  <w:footnote w:id="2">
    <w:p w:rsidR="0010066B" w:rsidRDefault="00F432AA">
      <w:pPr>
        <w:rPr>
          <w:sz w:val="20"/>
          <w:szCs w:val="20"/>
        </w:rPr>
      </w:pPr>
      <w:r>
        <w:rPr>
          <w:vertAlign w:val="superscript"/>
        </w:rPr>
        <w:footnoteRef/>
      </w:r>
      <w:r>
        <w:rPr>
          <w:sz w:val="20"/>
          <w:szCs w:val="20"/>
        </w:rPr>
        <w:t xml:space="preserve"> </w:t>
      </w:r>
      <w:hyperlink r:id="rId2">
        <w:r>
          <w:rPr>
            <w:color w:val="1155CC"/>
            <w:sz w:val="20"/>
            <w:szCs w:val="20"/>
            <w:u w:val="single"/>
          </w:rPr>
          <w:t>https://www.dane.gov.co/index.php/estadisticas-por-tema/comercio-interno/encuesta-mensual-de-comercio-emc</w:t>
        </w:r>
      </w:hyperlink>
    </w:p>
  </w:footnote>
  <w:footnote w:id="3">
    <w:p w:rsidR="0010066B" w:rsidRDefault="00F432AA">
      <w:pPr>
        <w:rPr>
          <w:sz w:val="20"/>
          <w:szCs w:val="20"/>
        </w:rPr>
      </w:pPr>
      <w:r>
        <w:rPr>
          <w:vertAlign w:val="superscript"/>
        </w:rPr>
        <w:footnoteRef/>
      </w:r>
      <w:r>
        <w:rPr>
          <w:sz w:val="20"/>
          <w:szCs w:val="20"/>
        </w:rPr>
        <w:t xml:space="preserve"> </w:t>
      </w:r>
      <w:hyperlink r:id="rId3">
        <w:r>
          <w:rPr>
            <w:color w:val="1155CC"/>
            <w:sz w:val="20"/>
            <w:szCs w:val="20"/>
            <w:u w:val="single"/>
          </w:rPr>
          <w:t>https://www.portafolio.co/negocios/industrias/la-informalidad-es-el-principal-problema-del-sector-acicam-608903</w:t>
        </w:r>
      </w:hyperlink>
      <w:r>
        <w:rPr>
          <w:sz w:val="20"/>
          <w:szCs w:val="20"/>
        </w:rPr>
        <w:t xml:space="preserve"> </w:t>
      </w:r>
    </w:p>
  </w:footnote>
  <w:footnote w:id="4">
    <w:p w:rsidR="0010066B" w:rsidRDefault="00F432AA">
      <w:pPr>
        <w:rPr>
          <w:sz w:val="20"/>
          <w:szCs w:val="20"/>
        </w:rPr>
      </w:pPr>
      <w:r>
        <w:rPr>
          <w:vertAlign w:val="superscript"/>
        </w:rPr>
        <w:footnoteRef/>
      </w:r>
      <w:r>
        <w:rPr>
          <w:sz w:val="20"/>
          <w:szCs w:val="20"/>
        </w:rPr>
        <w:t xml:space="preserve"> </w:t>
      </w:r>
      <w:hyperlink r:id="rId4">
        <w:r>
          <w:rPr>
            <w:color w:val="1155CC"/>
            <w:sz w:val="20"/>
            <w:szCs w:val="20"/>
            <w:u w:val="single"/>
          </w:rPr>
          <w:t>https://www.larepublica.co/empresas/cada-ano-se-calcula-que-un-colombiano-compra-en-promedio-dos-pares-de-zapatos-3909844</w:t>
        </w:r>
      </w:hyperlink>
      <w:r>
        <w:rPr>
          <w:sz w:val="20"/>
          <w:szCs w:val="20"/>
        </w:rPr>
        <w:t xml:space="preserve"> </w:t>
      </w:r>
    </w:p>
  </w:footnote>
  <w:footnote w:id="5">
    <w:p w:rsidR="0010066B" w:rsidRDefault="00F432AA">
      <w:pPr>
        <w:rPr>
          <w:sz w:val="20"/>
          <w:szCs w:val="20"/>
        </w:rPr>
      </w:pPr>
      <w:r>
        <w:rPr>
          <w:vertAlign w:val="superscript"/>
        </w:rPr>
        <w:footnoteRef/>
      </w:r>
      <w:r>
        <w:rPr>
          <w:sz w:val="20"/>
          <w:szCs w:val="20"/>
        </w:rPr>
        <w:t xml:space="preserve"> </w:t>
      </w:r>
      <w:hyperlink r:id="rId5">
        <w:r>
          <w:rPr>
            <w:color w:val="1155CC"/>
            <w:sz w:val="20"/>
            <w:szCs w:val="20"/>
            <w:u w:val="single"/>
          </w:rPr>
          <w:t>https://bibliotecadigital.ccb.org.co/items/bacb5cee-0b74-41af-8223-f1bf31eef1e3</w:t>
        </w:r>
      </w:hyperlink>
      <w:r>
        <w:rPr>
          <w:sz w:val="20"/>
          <w:szCs w:val="20"/>
        </w:rPr>
        <w:t xml:space="preserve"> </w:t>
      </w:r>
    </w:p>
  </w:footnote>
  <w:footnote w:id="6">
    <w:p w:rsidR="0010066B" w:rsidRDefault="00F432AA">
      <w:pPr>
        <w:rPr>
          <w:sz w:val="20"/>
          <w:szCs w:val="20"/>
        </w:rPr>
      </w:pPr>
      <w:r>
        <w:rPr>
          <w:vertAlign w:val="superscript"/>
        </w:rPr>
        <w:footnoteRef/>
      </w:r>
      <w:r>
        <w:rPr>
          <w:sz w:val="20"/>
          <w:szCs w:val="20"/>
        </w:rPr>
        <w:t xml:space="preserve"> </w:t>
      </w:r>
      <w:hyperlink r:id="rId6">
        <w:r>
          <w:rPr>
            <w:color w:val="1155CC"/>
            <w:sz w:val="20"/>
            <w:szCs w:val="20"/>
            <w:u w:val="single"/>
          </w:rPr>
          <w:t>https://old.integracionsocial.gov.co/anexos/documentos/1_entidad/gsi/15_antonio_narino_lectura_de_realidades_restrepo_social.pdf</w:t>
        </w:r>
      </w:hyperlink>
    </w:p>
  </w:footnote>
  <w:footnote w:id="7">
    <w:p w:rsidR="0010066B" w:rsidRDefault="00F432AA">
      <w:pPr>
        <w:rPr>
          <w:sz w:val="20"/>
          <w:szCs w:val="20"/>
        </w:rPr>
      </w:pPr>
      <w:r>
        <w:rPr>
          <w:vertAlign w:val="superscript"/>
        </w:rPr>
        <w:footnoteRef/>
      </w:r>
      <w:r>
        <w:rPr>
          <w:sz w:val="20"/>
          <w:szCs w:val="20"/>
        </w:rPr>
        <w:t xml:space="preserve"> </w:t>
      </w:r>
      <w:hyperlink r:id="rId7">
        <w:r>
          <w:rPr>
            <w:color w:val="1155CC"/>
            <w:sz w:val="20"/>
            <w:szCs w:val="20"/>
            <w:u w:val="single"/>
          </w:rPr>
          <w:t>https://www.idiger.gov.co/documents/220605/1442764/Identificaci%C3%B3n+y+priorizaci%C3%B3n+.pdf/d0dc38d4-596b-4011-b11e-7e332b652f61</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066B" w:rsidRDefault="0010066B">
    <w:pPr>
      <w:widowControl w:val="0"/>
      <w:pBdr>
        <w:top w:val="nil"/>
        <w:left w:val="nil"/>
        <w:bottom w:val="nil"/>
        <w:right w:val="nil"/>
        <w:between w:val="nil"/>
      </w:pBdr>
      <w:spacing w:line="276" w:lineRule="auto"/>
      <w:ind w:hanging="2"/>
      <w:rPr>
        <w:rFonts w:ascii="Arial" w:eastAsia="Arial" w:hAnsi="Arial" w:cs="Arial"/>
      </w:rPr>
    </w:pPr>
  </w:p>
  <w:tbl>
    <w:tblPr>
      <w:tblStyle w:val="a0"/>
      <w:tblW w:w="9500" w:type="dxa"/>
      <w:tblInd w:w="0" w:type="dxa"/>
      <w:tblLayout w:type="fixed"/>
      <w:tblLook w:val="0000" w:firstRow="0" w:lastRow="0" w:firstColumn="0" w:lastColumn="0" w:noHBand="0" w:noVBand="0"/>
    </w:tblPr>
    <w:tblGrid>
      <w:gridCol w:w="2540"/>
      <w:gridCol w:w="4556"/>
      <w:gridCol w:w="2404"/>
    </w:tblGrid>
    <w:tr w:rsidR="0010066B">
      <w:trPr>
        <w:cantSplit/>
        <w:trHeight w:val="454"/>
      </w:trPr>
      <w:tc>
        <w:tcPr>
          <w:tcW w:w="2540" w:type="dxa"/>
          <w:vMerge w:val="restart"/>
          <w:tcBorders>
            <w:top w:val="single" w:sz="4" w:space="0" w:color="000000"/>
            <w:left w:val="single" w:sz="4" w:space="0" w:color="000000"/>
            <w:right w:val="single" w:sz="4" w:space="0" w:color="000000"/>
          </w:tcBorders>
          <w:vAlign w:val="center"/>
        </w:tcPr>
        <w:p w:rsidR="0010066B" w:rsidRDefault="00F432AA">
          <w:pPr>
            <w:ind w:hanging="2"/>
            <w:jc w:val="center"/>
            <w:rPr>
              <w:rFonts w:ascii="Arial" w:eastAsia="Arial" w:hAnsi="Arial" w:cs="Arial"/>
              <w:color w:val="000000"/>
              <w:sz w:val="16"/>
              <w:szCs w:val="16"/>
            </w:rPr>
          </w:pPr>
          <w:r>
            <w:rPr>
              <w:noProof/>
              <w:lang w:val="es-CO" w:eastAsia="es-CO"/>
            </w:rPr>
            <w:drawing>
              <wp:anchor distT="0" distB="0" distL="0" distR="0" simplePos="0" relativeHeight="251658240" behindDoc="1" locked="0" layoutInCell="1" hidden="0" allowOverlap="1">
                <wp:simplePos x="0" y="0"/>
                <wp:positionH relativeFrom="column">
                  <wp:posOffset>361315</wp:posOffset>
                </wp:positionH>
                <wp:positionV relativeFrom="paragraph">
                  <wp:posOffset>-33653</wp:posOffset>
                </wp:positionV>
                <wp:extent cx="752475" cy="885825"/>
                <wp:effectExtent l="0" t="0" r="0" b="0"/>
                <wp:wrapNone/>
                <wp:docPr id="2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tc>
      <w:tc>
        <w:tcPr>
          <w:tcW w:w="4556" w:type="dxa"/>
          <w:tcBorders>
            <w:top w:val="single" w:sz="4" w:space="0" w:color="000000"/>
            <w:left w:val="nil"/>
            <w:bottom w:val="single" w:sz="4" w:space="0" w:color="000000"/>
            <w:right w:val="single" w:sz="4" w:space="0" w:color="000000"/>
          </w:tcBorders>
          <w:vAlign w:val="center"/>
        </w:tcPr>
        <w:p w:rsidR="0010066B" w:rsidRDefault="00F432AA">
          <w:pPr>
            <w:ind w:hanging="2"/>
            <w:jc w:val="center"/>
            <w:rPr>
              <w:rFonts w:ascii="Arial" w:eastAsia="Arial" w:hAnsi="Arial" w:cs="Arial"/>
              <w:color w:val="000000"/>
              <w:sz w:val="18"/>
              <w:szCs w:val="18"/>
            </w:rPr>
          </w:pPr>
          <w:r>
            <w:rPr>
              <w:rFonts w:ascii="Arial" w:eastAsia="Arial" w:hAnsi="Arial" w:cs="Arial"/>
              <w:color w:val="000000"/>
              <w:sz w:val="18"/>
              <w:szCs w:val="18"/>
            </w:rPr>
            <w:t>PROCESO GESTIÓN NORMATIVA</w:t>
          </w:r>
        </w:p>
      </w:tc>
      <w:tc>
        <w:tcPr>
          <w:tcW w:w="2404" w:type="dxa"/>
          <w:tcBorders>
            <w:top w:val="single" w:sz="4" w:space="0" w:color="000000"/>
            <w:left w:val="nil"/>
            <w:bottom w:val="single" w:sz="4" w:space="0" w:color="000000"/>
            <w:right w:val="single" w:sz="4" w:space="0" w:color="000000"/>
          </w:tcBorders>
          <w:vAlign w:val="center"/>
        </w:tcPr>
        <w:p w:rsidR="0010066B" w:rsidRDefault="00F432AA">
          <w:pPr>
            <w:ind w:hanging="2"/>
            <w:rPr>
              <w:rFonts w:ascii="Arial" w:eastAsia="Arial" w:hAnsi="Arial" w:cs="Arial"/>
              <w:color w:val="000000"/>
              <w:sz w:val="16"/>
              <w:szCs w:val="16"/>
            </w:rPr>
          </w:pPr>
          <w:r>
            <w:rPr>
              <w:rFonts w:ascii="Arial" w:eastAsia="Arial" w:hAnsi="Arial" w:cs="Arial"/>
              <w:color w:val="000000"/>
              <w:sz w:val="16"/>
              <w:szCs w:val="16"/>
            </w:rPr>
            <w:t>CÓDIGO</w:t>
          </w:r>
          <w:r>
            <w:rPr>
              <w:rFonts w:ascii="Arial" w:eastAsia="Arial" w:hAnsi="Arial" w:cs="Arial"/>
              <w:color w:val="3366FF"/>
              <w:sz w:val="16"/>
              <w:szCs w:val="16"/>
            </w:rPr>
            <w:t xml:space="preserve">: </w:t>
          </w:r>
          <w:r>
            <w:rPr>
              <w:rFonts w:ascii="Arial" w:eastAsia="Arial" w:hAnsi="Arial" w:cs="Arial"/>
              <w:color w:val="000000"/>
              <w:sz w:val="16"/>
              <w:szCs w:val="16"/>
            </w:rPr>
            <w:t>GNV-FO-001</w:t>
          </w:r>
        </w:p>
      </w:tc>
    </w:tr>
    <w:tr w:rsidR="0010066B">
      <w:trPr>
        <w:cantSplit/>
        <w:trHeight w:val="454"/>
      </w:trPr>
      <w:tc>
        <w:tcPr>
          <w:tcW w:w="2540" w:type="dxa"/>
          <w:vMerge/>
          <w:tcBorders>
            <w:top w:val="single" w:sz="4" w:space="0" w:color="000000"/>
            <w:left w:val="single" w:sz="4" w:space="0" w:color="000000"/>
            <w:right w:val="single" w:sz="4" w:space="0" w:color="000000"/>
          </w:tcBorders>
          <w:vAlign w:val="center"/>
        </w:tcPr>
        <w:p w:rsidR="0010066B" w:rsidRDefault="0010066B">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c>
        <w:tcPr>
          <w:tcW w:w="4556" w:type="dxa"/>
          <w:vMerge w:val="restart"/>
          <w:tcBorders>
            <w:top w:val="single" w:sz="4" w:space="0" w:color="000000"/>
            <w:left w:val="nil"/>
            <w:right w:val="single" w:sz="4" w:space="0" w:color="000000"/>
          </w:tcBorders>
          <w:vAlign w:val="center"/>
        </w:tcPr>
        <w:p w:rsidR="0010066B" w:rsidRDefault="00F432AA">
          <w:pPr>
            <w:ind w:hanging="2"/>
            <w:jc w:val="center"/>
            <w:rPr>
              <w:rFonts w:ascii="Arial" w:eastAsia="Arial" w:hAnsi="Arial" w:cs="Arial"/>
              <w:color w:val="000000"/>
              <w:sz w:val="20"/>
              <w:szCs w:val="20"/>
            </w:rPr>
          </w:pPr>
          <w:r>
            <w:rPr>
              <w:rFonts w:ascii="Arial" w:eastAsia="Arial" w:hAnsi="Arial" w:cs="Arial"/>
              <w:color w:val="000000"/>
              <w:sz w:val="20"/>
              <w:szCs w:val="20"/>
            </w:rPr>
            <w:t>PRESENTACIÓN P</w:t>
          </w:r>
          <w:r>
            <w:rPr>
              <w:rFonts w:ascii="Arial" w:eastAsia="Arial" w:hAnsi="Arial" w:cs="Arial"/>
              <w:sz w:val="20"/>
              <w:szCs w:val="20"/>
            </w:rPr>
            <w:t>ONENCIAS</w:t>
          </w:r>
        </w:p>
      </w:tc>
      <w:tc>
        <w:tcPr>
          <w:tcW w:w="2404" w:type="dxa"/>
          <w:tcBorders>
            <w:top w:val="single" w:sz="4" w:space="0" w:color="000000"/>
            <w:left w:val="nil"/>
            <w:bottom w:val="single" w:sz="4" w:space="0" w:color="000000"/>
            <w:right w:val="single" w:sz="4" w:space="0" w:color="000000"/>
          </w:tcBorders>
          <w:vAlign w:val="center"/>
        </w:tcPr>
        <w:p w:rsidR="0010066B" w:rsidRDefault="00F432AA">
          <w:pPr>
            <w:ind w:hanging="2"/>
            <w:rPr>
              <w:rFonts w:ascii="Arial" w:eastAsia="Arial" w:hAnsi="Arial" w:cs="Arial"/>
              <w:color w:val="000000"/>
              <w:sz w:val="16"/>
              <w:szCs w:val="16"/>
            </w:rPr>
          </w:pPr>
          <w:r>
            <w:rPr>
              <w:rFonts w:ascii="Arial" w:eastAsia="Arial" w:hAnsi="Arial" w:cs="Arial"/>
              <w:color w:val="000000"/>
              <w:sz w:val="16"/>
              <w:szCs w:val="16"/>
            </w:rPr>
            <w:t>VERSIÓN:    02</w:t>
          </w:r>
        </w:p>
      </w:tc>
    </w:tr>
    <w:tr w:rsidR="0010066B">
      <w:trPr>
        <w:cantSplit/>
        <w:trHeight w:val="454"/>
      </w:trPr>
      <w:tc>
        <w:tcPr>
          <w:tcW w:w="2540" w:type="dxa"/>
          <w:vMerge/>
          <w:tcBorders>
            <w:top w:val="single" w:sz="4" w:space="0" w:color="000000"/>
            <w:left w:val="single" w:sz="4" w:space="0" w:color="000000"/>
            <w:right w:val="single" w:sz="4" w:space="0" w:color="000000"/>
          </w:tcBorders>
          <w:vAlign w:val="center"/>
        </w:tcPr>
        <w:p w:rsidR="0010066B" w:rsidRDefault="0010066B">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c>
        <w:tcPr>
          <w:tcW w:w="4556" w:type="dxa"/>
          <w:vMerge/>
          <w:tcBorders>
            <w:top w:val="single" w:sz="4" w:space="0" w:color="000000"/>
            <w:left w:val="nil"/>
            <w:right w:val="single" w:sz="4" w:space="0" w:color="000000"/>
          </w:tcBorders>
          <w:vAlign w:val="center"/>
        </w:tcPr>
        <w:p w:rsidR="0010066B" w:rsidRDefault="0010066B">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c>
        <w:tcPr>
          <w:tcW w:w="2404" w:type="dxa"/>
          <w:tcBorders>
            <w:top w:val="single" w:sz="4" w:space="0" w:color="000000"/>
            <w:left w:val="nil"/>
            <w:bottom w:val="single" w:sz="4" w:space="0" w:color="000000"/>
            <w:right w:val="single" w:sz="4" w:space="0" w:color="000000"/>
          </w:tcBorders>
          <w:vAlign w:val="center"/>
        </w:tcPr>
        <w:p w:rsidR="0010066B" w:rsidRDefault="00F432AA">
          <w:pPr>
            <w:ind w:hanging="2"/>
            <w:rPr>
              <w:rFonts w:ascii="Arial" w:eastAsia="Arial" w:hAnsi="Arial" w:cs="Arial"/>
              <w:color w:val="000000"/>
              <w:sz w:val="16"/>
              <w:szCs w:val="16"/>
            </w:rPr>
          </w:pPr>
          <w:r>
            <w:rPr>
              <w:rFonts w:ascii="Arial" w:eastAsia="Arial" w:hAnsi="Arial" w:cs="Arial"/>
              <w:color w:val="000000"/>
              <w:sz w:val="16"/>
              <w:szCs w:val="16"/>
            </w:rPr>
            <w:t>FECHA: 14-Nov-2019</w:t>
          </w:r>
        </w:p>
      </w:tc>
    </w:tr>
  </w:tbl>
  <w:p w:rsidR="0010066B" w:rsidRDefault="0010066B">
    <w:pPr>
      <w:pBdr>
        <w:top w:val="nil"/>
        <w:left w:val="nil"/>
        <w:bottom w:val="nil"/>
        <w:right w:val="nil"/>
        <w:between w:val="nil"/>
      </w:pBdr>
      <w:tabs>
        <w:tab w:val="center" w:pos="4419"/>
        <w:tab w:val="right" w:pos="8838"/>
      </w:tabs>
      <w:ind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1F1FB3"/>
    <w:multiLevelType w:val="multilevel"/>
    <w:tmpl w:val="AE4ADDD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 w15:restartNumberingAfterBreak="0">
    <w:nsid w:val="14EF40FB"/>
    <w:multiLevelType w:val="multilevel"/>
    <w:tmpl w:val="2BCA4BF4"/>
    <w:lvl w:ilvl="0">
      <w:start w:val="5"/>
      <w:numFmt w:val="decimal"/>
      <w:lvlText w:val="%1."/>
      <w:lvlJc w:val="left"/>
      <w:pPr>
        <w:ind w:left="660" w:hanging="660"/>
      </w:pPr>
      <w:rPr>
        <w:rFonts w:ascii="Arial" w:eastAsia="Arial" w:hAnsi="Arial" w:cs="Arial"/>
        <w:b/>
      </w:rPr>
    </w:lvl>
    <w:lvl w:ilvl="1">
      <w:start w:val="1"/>
      <w:numFmt w:val="decimal"/>
      <w:lvlText w:val="%1.%2."/>
      <w:lvlJc w:val="left"/>
      <w:pPr>
        <w:ind w:left="660" w:hanging="660"/>
      </w:pPr>
    </w:lvl>
    <w:lvl w:ilvl="2">
      <w:start w:val="6"/>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2EB21FCE"/>
    <w:multiLevelType w:val="multilevel"/>
    <w:tmpl w:val="C77437F4"/>
    <w:lvl w:ilvl="0">
      <w:start w:val="1"/>
      <w:numFmt w:val="decimal"/>
      <w:lvlText w:val="%1."/>
      <w:lvlJc w:val="left"/>
      <w:pPr>
        <w:ind w:left="360" w:hanging="360"/>
      </w:pPr>
      <w:rPr>
        <w:b/>
      </w:rPr>
    </w:lvl>
    <w:lvl w:ilvl="1">
      <w:start w:val="1"/>
      <w:numFmt w:val="decimal"/>
      <w:lvlText w:val="%1.%2."/>
      <w:lvlJc w:val="left"/>
      <w:pPr>
        <w:ind w:left="720" w:hanging="720"/>
      </w:pPr>
    </w:lvl>
    <w:lvl w:ilvl="2">
      <w:start w:val="1"/>
      <w:numFmt w:val="decimal"/>
      <w:lvlText w:val="%1.%2.%3."/>
      <w:lvlJc w:val="left"/>
      <w:pPr>
        <w:ind w:left="1080" w:hanging="1080"/>
      </w:pPr>
      <w:rPr>
        <w:b/>
      </w:r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3" w15:restartNumberingAfterBreak="0">
    <w:nsid w:val="43BA68D7"/>
    <w:multiLevelType w:val="multilevel"/>
    <w:tmpl w:val="772A0F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7E0D7D4D"/>
    <w:multiLevelType w:val="multilevel"/>
    <w:tmpl w:val="B07272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0"/>
  </w:num>
  <w:num w:numId="2">
    <w:abstractNumId w:val="1"/>
  </w:num>
  <w:num w:numId="3">
    <w:abstractNumId w:val="2"/>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066B"/>
    <w:rsid w:val="0010066B"/>
    <w:rsid w:val="002A5F9D"/>
    <w:rsid w:val="007959FF"/>
    <w:rsid w:val="00CD0DB3"/>
    <w:rsid w:val="00D34869"/>
    <w:rsid w:val="00F432A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5214BF8-0A00-4767-9CAF-C18BF7FCA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s-ES_tradnl"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7435"/>
    <w:rPr>
      <w:lang w:eastAsia="es-ES_tradnl"/>
    </w:rPr>
  </w:style>
  <w:style w:type="paragraph" w:styleId="Ttulo1">
    <w:name w:val="heading 1"/>
    <w:basedOn w:val="Normal"/>
    <w:next w:val="Normal"/>
    <w:uiPriority w:val="9"/>
    <w:qFormat/>
    <w:pPr>
      <w:keepNext/>
      <w:keepLines/>
      <w:suppressAutoHyphens/>
      <w:spacing w:before="240" w:line="259" w:lineRule="auto"/>
      <w:ind w:leftChars="-1" w:left="-1" w:hangingChars="1" w:hanging="1"/>
      <w:textDirection w:val="btLr"/>
      <w:textAlignment w:val="top"/>
      <w:outlineLvl w:val="0"/>
    </w:pPr>
    <w:rPr>
      <w:rFonts w:ascii="Calibri Light" w:hAnsi="Calibri Light"/>
      <w:color w:val="2E74B5"/>
      <w:position w:val="-1"/>
      <w:sz w:val="32"/>
      <w:szCs w:val="32"/>
      <w:lang w:val="es-CO" w:eastAsia="es-CO"/>
    </w:rPr>
  </w:style>
  <w:style w:type="paragraph" w:styleId="Ttulo2">
    <w:name w:val="heading 2"/>
    <w:basedOn w:val="Normal"/>
    <w:next w:val="Normal"/>
    <w:uiPriority w:val="9"/>
    <w:semiHidden/>
    <w:unhideWhenUsed/>
    <w:qFormat/>
    <w:pPr>
      <w:keepNext/>
      <w:keepLines/>
      <w:suppressAutoHyphens/>
      <w:spacing w:before="360" w:after="80" w:line="259" w:lineRule="auto"/>
      <w:ind w:leftChars="-1" w:left="-1" w:hangingChars="1" w:hanging="1"/>
      <w:textDirection w:val="btLr"/>
      <w:textAlignment w:val="top"/>
      <w:outlineLvl w:val="1"/>
    </w:pPr>
    <w:rPr>
      <w:rFonts w:ascii="Calibri" w:hAnsi="Calibri" w:cs="Calibri"/>
      <w:b/>
      <w:position w:val="-1"/>
      <w:sz w:val="36"/>
      <w:szCs w:val="36"/>
      <w:lang w:val="es-CO" w:eastAsia="es-CO"/>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uppressAutoHyphens/>
      <w:spacing w:before="480" w:after="120" w:line="259" w:lineRule="auto"/>
      <w:ind w:leftChars="-1" w:left="-1" w:hangingChars="1" w:hanging="1"/>
      <w:textDirection w:val="btLr"/>
      <w:textAlignment w:val="top"/>
      <w:outlineLvl w:val="0"/>
    </w:pPr>
    <w:rPr>
      <w:rFonts w:ascii="Calibri" w:hAnsi="Calibri" w:cs="Calibri"/>
      <w:b/>
      <w:position w:val="-1"/>
      <w:sz w:val="72"/>
      <w:szCs w:val="72"/>
      <w:lang w:val="es-CO" w:eastAsia="es-CO"/>
    </w:rPr>
  </w:style>
  <w:style w:type="table" w:customStyle="1" w:styleId="TableNormal0">
    <w:name w:val="Table Normal"/>
    <w:tblPr>
      <w:tblCellMar>
        <w:top w:w="0" w:type="dxa"/>
        <w:left w:w="0" w:type="dxa"/>
        <w:bottom w:w="0" w:type="dxa"/>
        <w:right w:w="0" w:type="dxa"/>
      </w:tblCellMar>
    </w:tblPr>
  </w:style>
  <w:style w:type="table" w:customStyle="1" w:styleId="TableNormal2">
    <w:name w:val="Table Normal2"/>
    <w:pPr>
      <w:suppressAutoHyphens/>
      <w:ind w:leftChars="-1" w:left="-1" w:hangingChars="1" w:hanging="1"/>
      <w:textDirection w:val="btLr"/>
      <w:textAlignment w:val="top"/>
      <w:outlineLvl w:val="0"/>
    </w:pPr>
    <w:rPr>
      <w:position w:val="-1"/>
    </w:rPr>
    <w:tblPr>
      <w:tblCellMar>
        <w:top w:w="0" w:type="dxa"/>
        <w:left w:w="0" w:type="dxa"/>
        <w:bottom w:w="0" w:type="dxa"/>
        <w:right w:w="0" w:type="dxa"/>
      </w:tblCellMar>
    </w:tblPr>
  </w:style>
  <w:style w:type="table" w:customStyle="1" w:styleId="TableNormal1">
    <w:name w:val="Table Normal1"/>
    <w:next w:val="TableNormal0"/>
    <w:pPr>
      <w:suppressAutoHyphens/>
      <w:ind w:leftChars="-1" w:left="-1" w:hangingChars="1" w:hanging="1"/>
      <w:textDirection w:val="btLr"/>
      <w:textAlignment w:val="top"/>
      <w:outlineLvl w:val="0"/>
    </w:pPr>
    <w:rPr>
      <w:position w:val="-1"/>
    </w:rPr>
    <w:tblPr>
      <w:tblCellMar>
        <w:top w:w="0" w:type="dxa"/>
        <w:left w:w="0" w:type="dxa"/>
        <w:bottom w:w="0" w:type="dxa"/>
        <w:right w:w="0" w:type="dxa"/>
      </w:tblCellMar>
    </w:tblPr>
  </w:style>
  <w:style w:type="paragraph" w:styleId="Encabezado">
    <w:name w:val="header"/>
    <w:basedOn w:val="Normal"/>
    <w:qFormat/>
    <w:pPr>
      <w:suppressAutoHyphens/>
      <w:ind w:leftChars="-1" w:left="-1" w:hangingChars="1" w:hanging="1"/>
      <w:textDirection w:val="btLr"/>
      <w:textAlignment w:val="top"/>
      <w:outlineLvl w:val="0"/>
    </w:pPr>
    <w:rPr>
      <w:rFonts w:ascii="Calibri" w:hAnsi="Calibri" w:cs="Calibri"/>
      <w:position w:val="-1"/>
      <w:sz w:val="22"/>
      <w:szCs w:val="22"/>
      <w:lang w:val="es-CO" w:eastAsia="es-CO"/>
    </w:rPr>
  </w:style>
  <w:style w:type="character" w:customStyle="1" w:styleId="EncabezadoCar">
    <w:name w:val="Encabezado Car"/>
    <w:basedOn w:val="Fuentedeprrafopredeter"/>
    <w:rPr>
      <w:w w:val="100"/>
      <w:position w:val="-1"/>
      <w:effect w:val="none"/>
      <w:vertAlign w:val="baseline"/>
      <w:cs w:val="0"/>
      <w:em w:val="none"/>
    </w:rPr>
  </w:style>
  <w:style w:type="paragraph" w:styleId="Piedepgina">
    <w:name w:val="footer"/>
    <w:basedOn w:val="Normal"/>
    <w:qFormat/>
    <w:pPr>
      <w:suppressAutoHyphens/>
      <w:ind w:leftChars="-1" w:left="-1" w:hangingChars="1" w:hanging="1"/>
      <w:textDirection w:val="btLr"/>
      <w:textAlignment w:val="top"/>
      <w:outlineLvl w:val="0"/>
    </w:pPr>
    <w:rPr>
      <w:rFonts w:ascii="Calibri" w:hAnsi="Calibri" w:cs="Calibri"/>
      <w:position w:val="-1"/>
      <w:sz w:val="22"/>
      <w:szCs w:val="22"/>
      <w:lang w:val="es-CO" w:eastAsia="es-CO"/>
    </w:rPr>
  </w:style>
  <w:style w:type="character" w:customStyle="1" w:styleId="PiedepginaCar">
    <w:name w:val="Pie de página Car"/>
    <w:basedOn w:val="Fuentedeprrafopredeter"/>
    <w:rPr>
      <w:w w:val="100"/>
      <w:position w:val="-1"/>
      <w:effect w:val="none"/>
      <w:vertAlign w:val="baseline"/>
      <w:cs w:val="0"/>
      <w:em w:val="none"/>
    </w:rPr>
  </w:style>
  <w:style w:type="character" w:styleId="Hipervnculo">
    <w:name w:val="Hyperlink"/>
    <w:qFormat/>
    <w:rPr>
      <w:color w:val="0563C1"/>
      <w:w w:val="100"/>
      <w:position w:val="-1"/>
      <w:u w:val="single"/>
      <w:effect w:val="none"/>
      <w:vertAlign w:val="baseline"/>
      <w:cs w:val="0"/>
      <w:em w:val="none"/>
    </w:rPr>
  </w:style>
  <w:style w:type="paragraph" w:styleId="Textonotapie">
    <w:name w:val="footnote text"/>
    <w:basedOn w:val="Normal"/>
    <w:qFormat/>
    <w:pPr>
      <w:suppressAutoHyphens/>
      <w:ind w:leftChars="-1" w:left="-1" w:hangingChars="1" w:hanging="1"/>
      <w:textDirection w:val="btLr"/>
      <w:textAlignment w:val="top"/>
      <w:outlineLvl w:val="0"/>
    </w:pPr>
    <w:rPr>
      <w:rFonts w:ascii="Calibri" w:hAnsi="Calibri" w:cs="Calibri"/>
      <w:position w:val="-1"/>
      <w:sz w:val="20"/>
      <w:szCs w:val="20"/>
      <w:lang w:val="es-CO" w:eastAsia="es-CO"/>
    </w:rPr>
  </w:style>
  <w:style w:type="character" w:customStyle="1" w:styleId="TextonotapieCar">
    <w:name w:val="Texto nota pie Car"/>
    <w:rPr>
      <w:w w:val="100"/>
      <w:position w:val="-1"/>
      <w:sz w:val="20"/>
      <w:szCs w:val="20"/>
      <w:effect w:val="none"/>
      <w:vertAlign w:val="baseline"/>
      <w:cs w:val="0"/>
      <w:em w:val="none"/>
    </w:rPr>
  </w:style>
  <w:style w:type="character" w:styleId="Refdenotaalpie">
    <w:name w:val="footnote reference"/>
    <w:qFormat/>
    <w:rPr>
      <w:w w:val="100"/>
      <w:position w:val="-1"/>
      <w:effect w:val="none"/>
      <w:vertAlign w:val="superscript"/>
      <w:cs w:val="0"/>
      <w:em w:val="none"/>
    </w:rPr>
  </w:style>
  <w:style w:type="character" w:customStyle="1" w:styleId="Ttulo1Car">
    <w:name w:val="Título 1 Car"/>
    <w:rPr>
      <w:rFonts w:ascii="Calibri Light" w:eastAsia="Times New Roman" w:hAnsi="Calibri Light" w:cs="Times New Roman"/>
      <w:color w:val="2E74B5"/>
      <w:w w:val="100"/>
      <w:position w:val="-1"/>
      <w:sz w:val="32"/>
      <w:szCs w:val="32"/>
      <w:effect w:val="none"/>
      <w:vertAlign w:val="baseline"/>
      <w:cs w:val="0"/>
      <w:em w:val="none"/>
      <w:lang w:eastAsia="es-CO"/>
    </w:rPr>
  </w:style>
  <w:style w:type="paragraph" w:styleId="Bibliografa">
    <w:name w:val="Bibliography"/>
    <w:basedOn w:val="Normal"/>
    <w:next w:val="Normal"/>
    <w:qFormat/>
    <w:pPr>
      <w:suppressAutoHyphens/>
      <w:spacing w:after="160" w:line="259" w:lineRule="auto"/>
      <w:ind w:leftChars="-1" w:left="-1" w:hangingChars="1" w:hanging="1"/>
      <w:textDirection w:val="btLr"/>
      <w:textAlignment w:val="top"/>
      <w:outlineLvl w:val="0"/>
    </w:pPr>
    <w:rPr>
      <w:rFonts w:ascii="Calibri" w:hAnsi="Calibri" w:cs="Calibri"/>
      <w:position w:val="-1"/>
      <w:sz w:val="22"/>
      <w:szCs w:val="22"/>
      <w:lang w:val="es-CO" w:eastAsia="es-CO"/>
    </w:rPr>
  </w:style>
  <w:style w:type="paragraph" w:styleId="Subttulo">
    <w:name w:val="Subtitle"/>
    <w:basedOn w:val="Normal"/>
    <w:next w:val="Normal"/>
    <w:pPr>
      <w:keepNext/>
      <w:keepLines/>
      <w:spacing w:before="360" w:after="80" w:line="259" w:lineRule="auto"/>
      <w:ind w:hanging="1"/>
    </w:pPr>
    <w:rPr>
      <w:rFonts w:ascii="Georgia" w:eastAsia="Georgia" w:hAnsi="Georgia" w:cs="Georgia"/>
      <w:i/>
      <w:color w:val="666666"/>
      <w:sz w:val="48"/>
      <w:szCs w:val="48"/>
    </w:rPr>
  </w:style>
  <w:style w:type="table" w:customStyle="1" w:styleId="4">
    <w:name w:val="4"/>
    <w:basedOn w:val="TableNormal1"/>
    <w:tblPr>
      <w:tblStyleRowBandSize w:val="1"/>
      <w:tblStyleColBandSize w:val="1"/>
      <w:tblCellMar>
        <w:left w:w="115" w:type="dxa"/>
        <w:right w:w="115" w:type="dxa"/>
      </w:tblCellMar>
    </w:tblPr>
  </w:style>
  <w:style w:type="paragraph" w:styleId="Prrafodelista">
    <w:name w:val="List Paragraph"/>
    <w:aliases w:val="List1,LISTA,Párrafo de lista1,Ha,Resume Title,Bullet List,FooterText,numbered,List Paragraph1,Paragraphe de liste1,lp1,HOJA,Colorful List Accent 1,Colorful List - Accent 11,titulo 3,Colorful List - Accent 111,Bullets,Párrafo de lista2"/>
    <w:basedOn w:val="Normal"/>
    <w:link w:val="PrrafodelistaCar"/>
    <w:uiPriority w:val="34"/>
    <w:qFormat/>
    <w:pPr>
      <w:suppressAutoHyphens/>
      <w:spacing w:after="160" w:line="259" w:lineRule="auto"/>
      <w:ind w:leftChars="-1" w:left="720" w:hangingChars="1" w:hanging="1"/>
      <w:contextualSpacing/>
      <w:textDirection w:val="btLr"/>
      <w:textAlignment w:val="top"/>
      <w:outlineLvl w:val="0"/>
    </w:pPr>
    <w:rPr>
      <w:rFonts w:ascii="Calibri" w:hAnsi="Calibri" w:cs="Calibri"/>
      <w:position w:val="-1"/>
      <w:sz w:val="22"/>
      <w:szCs w:val="22"/>
      <w:lang w:val="es-CO" w:eastAsia="es-CO"/>
    </w:rPr>
  </w:style>
  <w:style w:type="table" w:customStyle="1" w:styleId="3">
    <w:name w:val="3"/>
    <w:basedOn w:val="TableNormal1"/>
    <w:tblPr>
      <w:tblStyleRowBandSize w:val="1"/>
      <w:tblStyleColBandSize w:val="1"/>
      <w:tblCellMar>
        <w:left w:w="115" w:type="dxa"/>
        <w:right w:w="115" w:type="dxa"/>
      </w:tblCellMar>
    </w:tblPr>
  </w:style>
  <w:style w:type="table" w:customStyle="1" w:styleId="2">
    <w:name w:val="2"/>
    <w:basedOn w:val="TableNormal1"/>
    <w:tblPr>
      <w:tblStyleRowBandSize w:val="1"/>
      <w:tblStyleColBandSize w:val="1"/>
      <w:tblCellMar>
        <w:top w:w="100" w:type="dxa"/>
        <w:left w:w="100" w:type="dxa"/>
        <w:bottom w:w="100" w:type="dxa"/>
        <w:right w:w="100" w:type="dxa"/>
      </w:tblCellMar>
    </w:tblPr>
  </w:style>
  <w:style w:type="table" w:customStyle="1" w:styleId="1">
    <w:name w:val="1"/>
    <w:basedOn w:val="TableNormal1"/>
    <w:tblPr>
      <w:tblStyleRowBandSize w:val="1"/>
      <w:tblStyleColBandSize w:val="1"/>
      <w:tblCellMar>
        <w:left w:w="70" w:type="dxa"/>
        <w:right w:w="70" w:type="dxa"/>
      </w:tblCellMar>
    </w:tblPr>
  </w:style>
  <w:style w:type="paragraph" w:styleId="NormalWeb">
    <w:name w:val="Normal (Web)"/>
    <w:basedOn w:val="Normal"/>
    <w:uiPriority w:val="99"/>
    <w:unhideWhenUsed/>
    <w:rsid w:val="000777D3"/>
    <w:pPr>
      <w:spacing w:before="100" w:beforeAutospacing="1" w:after="100" w:afterAutospacing="1"/>
    </w:pPr>
    <w:rPr>
      <w:lang w:val="es-CO" w:eastAsia="es-MX"/>
    </w:rPr>
  </w:style>
  <w:style w:type="table" w:styleId="Tablaconcuadrcula">
    <w:name w:val="Table Grid"/>
    <w:basedOn w:val="Tablanormal"/>
    <w:uiPriority w:val="39"/>
    <w:rsid w:val="00CB01A7"/>
    <w:rPr>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List1 Car,LISTA Car,Párrafo de lista1 Car,Ha Car,Resume Title Car,Bullet List Car,FooterText Car,numbered Car,List Paragraph1 Car,Paragraphe de liste1 Car,lp1 Car,HOJA Car,Colorful List Accent 1 Car,Colorful List - Accent 11 Car"/>
    <w:link w:val="Prrafodelista"/>
    <w:uiPriority w:val="34"/>
    <w:qFormat/>
    <w:locked/>
    <w:rsid w:val="00CB01A7"/>
    <w:rPr>
      <w:position w:val="-1"/>
      <w:lang w:eastAsia="es-CO"/>
    </w:rPr>
  </w:style>
  <w:style w:type="paragraph" w:styleId="Sinespaciado">
    <w:name w:val="No Spacing"/>
    <w:qFormat/>
    <w:rsid w:val="00406244"/>
    <w:rPr>
      <w:sz w:val="20"/>
      <w:szCs w:val="20"/>
      <w:lang w:val="es-ES" w:eastAsia="es-ES"/>
    </w:rPr>
  </w:style>
  <w:style w:type="character" w:customStyle="1" w:styleId="apple-converted-space">
    <w:name w:val="apple-converted-space"/>
    <w:basedOn w:val="Fuentedeprrafopredeter"/>
    <w:rsid w:val="00FA4F5F"/>
  </w:style>
  <w:style w:type="paragraph" w:customStyle="1" w:styleId="centrado">
    <w:name w:val="centrado"/>
    <w:basedOn w:val="Normal"/>
    <w:rsid w:val="00B4706B"/>
    <w:pPr>
      <w:spacing w:before="100" w:beforeAutospacing="1" w:after="100" w:afterAutospacing="1"/>
    </w:pPr>
  </w:style>
  <w:style w:type="character" w:customStyle="1" w:styleId="baj">
    <w:name w:val="b_aj"/>
    <w:basedOn w:val="Fuentedeprrafopredeter"/>
    <w:rsid w:val="00B4706B"/>
  </w:style>
  <w:style w:type="paragraph" w:styleId="Textodeglobo">
    <w:name w:val="Balloon Text"/>
    <w:basedOn w:val="Normal"/>
    <w:link w:val="TextodegloboCar"/>
    <w:uiPriority w:val="99"/>
    <w:semiHidden/>
    <w:unhideWhenUsed/>
    <w:rsid w:val="00EE78F3"/>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E78F3"/>
    <w:rPr>
      <w:rFonts w:ascii="Segoe UI" w:hAnsi="Segoe UI" w:cs="Segoe UI"/>
      <w:sz w:val="18"/>
      <w:szCs w:val="18"/>
      <w:lang w:val="es-ES_tradnl" w:eastAsia="es-ES_tradnl"/>
    </w:rPr>
  </w:style>
  <w:style w:type="character" w:styleId="Refdecomentario">
    <w:name w:val="annotation reference"/>
    <w:basedOn w:val="Fuentedeprrafopredeter"/>
    <w:uiPriority w:val="99"/>
    <w:semiHidden/>
    <w:unhideWhenUsed/>
    <w:rsid w:val="00A31ADA"/>
    <w:rPr>
      <w:sz w:val="16"/>
      <w:szCs w:val="16"/>
    </w:rPr>
  </w:style>
  <w:style w:type="paragraph" w:styleId="Textocomentario">
    <w:name w:val="annotation text"/>
    <w:basedOn w:val="Normal"/>
    <w:link w:val="TextocomentarioCar"/>
    <w:uiPriority w:val="99"/>
    <w:semiHidden/>
    <w:unhideWhenUsed/>
    <w:rsid w:val="00A31ADA"/>
    <w:rPr>
      <w:sz w:val="20"/>
      <w:szCs w:val="20"/>
    </w:rPr>
  </w:style>
  <w:style w:type="character" w:customStyle="1" w:styleId="TextocomentarioCar">
    <w:name w:val="Texto comentario Car"/>
    <w:basedOn w:val="Fuentedeprrafopredeter"/>
    <w:link w:val="Textocomentario"/>
    <w:uiPriority w:val="99"/>
    <w:semiHidden/>
    <w:rsid w:val="00A31ADA"/>
    <w:rPr>
      <w:rFonts w:ascii="Times New Roman" w:hAnsi="Times New Roman" w:cs="Times New Roman"/>
      <w:sz w:val="20"/>
      <w:szCs w:val="20"/>
      <w:lang w:val="es-ES_tradnl" w:eastAsia="es-ES_tradnl"/>
    </w:rPr>
  </w:style>
  <w:style w:type="paragraph" w:styleId="Asuntodelcomentario">
    <w:name w:val="annotation subject"/>
    <w:basedOn w:val="Textocomentario"/>
    <w:next w:val="Textocomentario"/>
    <w:link w:val="AsuntodelcomentarioCar"/>
    <w:uiPriority w:val="99"/>
    <w:semiHidden/>
    <w:unhideWhenUsed/>
    <w:rsid w:val="00A31ADA"/>
    <w:rPr>
      <w:b/>
      <w:bCs/>
    </w:rPr>
  </w:style>
  <w:style w:type="character" w:customStyle="1" w:styleId="AsuntodelcomentarioCar">
    <w:name w:val="Asunto del comentario Car"/>
    <w:basedOn w:val="TextocomentarioCar"/>
    <w:link w:val="Asuntodelcomentario"/>
    <w:uiPriority w:val="99"/>
    <w:semiHidden/>
    <w:rsid w:val="00A31ADA"/>
    <w:rPr>
      <w:rFonts w:ascii="Times New Roman" w:hAnsi="Times New Roman" w:cs="Times New Roman"/>
      <w:b/>
      <w:bCs/>
      <w:sz w:val="20"/>
      <w:szCs w:val="20"/>
      <w:lang w:val="es-ES_tradnl" w:eastAsia="es-ES_tradnl"/>
    </w:rPr>
  </w:style>
  <w:style w:type="character" w:styleId="Textoennegrita">
    <w:name w:val="Strong"/>
    <w:basedOn w:val="Fuentedeprrafopredeter"/>
    <w:uiPriority w:val="22"/>
    <w:qFormat/>
    <w:rsid w:val="00866580"/>
    <w:rPr>
      <w:b/>
      <w:bCs/>
    </w:rPr>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pPr>
      <w:ind w:hanging="1"/>
    </w:pPr>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alcaldiabogota.gov.co/sisjur/normas/Norma1.jsp?i=25932" TargetMode="External"/><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alcaldiabogota.gov.co/sisjur/normas/Norma1.jsp?i=14501" TargetMode="External"/><Relationship Id="rId17" Type="http://schemas.openxmlformats.org/officeDocument/2006/relationships/hyperlink" Target="http://www.scielo.org.co/scielo.php?script=sci_arttext&amp;pid=S0120-30532022000200243" TargetMode="External"/><Relationship Id="rId2" Type="http://schemas.openxmlformats.org/officeDocument/2006/relationships/numbering" Target="numbering.xml"/><Relationship Id="rId16" Type="http://schemas.openxmlformats.org/officeDocument/2006/relationships/hyperlink" Target="http://www.scielo.org.co/scielo.php?script=sci_arttext&amp;pid=S0120-30532022000200243"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scielo.org.co/scielo.php?script=sci_arttext&amp;pid=S0120-30532022000200243"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alcaldiabogota.gov.co/sisjur/normas/Norma1.jsp?i=25932"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portafolio.co/negocios/industrias/la-informalidad-es-el-principal-problema-del-sector-acicam-608903" TargetMode="External"/><Relationship Id="rId7" Type="http://schemas.openxmlformats.org/officeDocument/2006/relationships/hyperlink" Target="https://www.idiger.gov.co/documents/220605/1442764/Identificaci%C3%B3n+y+priorizaci%C3%B3n+.pdf/d0dc38d4-596b-4011-b11e-7e332b652f61" TargetMode="External"/><Relationship Id="rId2" Type="http://schemas.openxmlformats.org/officeDocument/2006/relationships/hyperlink" Target="https://www.dane.gov.co/index.php/estadisticas-por-tema/comercio-interno/encuesta-mensual-de-comercio-emc" TargetMode="External"/><Relationship Id="rId1" Type="http://schemas.openxmlformats.org/officeDocument/2006/relationships/hyperlink" Target="https://www.dane.gov.co/files/operaciones/PIB/bol-PIB-IIItrim2024.pdf" TargetMode="External"/><Relationship Id="rId6" Type="http://schemas.openxmlformats.org/officeDocument/2006/relationships/hyperlink" Target="https://old.integracionsocial.gov.co/anexos/documentos/1_entidad/gsi/15_antonio_narino_lectura_de_realidades_restrepo_social.pdf" TargetMode="External"/><Relationship Id="rId5" Type="http://schemas.openxmlformats.org/officeDocument/2006/relationships/hyperlink" Target="https://bibliotecadigital.ccb.org.co/items/bacb5cee-0b74-41af-8223-f1bf31eef1e3" TargetMode="External"/><Relationship Id="rId4" Type="http://schemas.openxmlformats.org/officeDocument/2006/relationships/hyperlink" Target="https://www.larepublica.co/empresas/cada-ano-se-calcula-que-un-colombiano-compra-en-promedio-dos-pares-de-zapatos-390984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EOwI2GLdYP4UIdHnCCLviFrlEA==">CgMxLjAyDWguNnZhamZocmkwcG8yDmguOTdscXdtcHR4bjIyMghoLmdqZGd4czIIaC5namRneHM4AHIhMU9XekxNellCY2w3TExqV1NScDZjZURseF9DbDlOYVVh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5545</Words>
  <Characters>30503</Characters>
  <Application>Microsoft Office Word</Application>
  <DocSecurity>0</DocSecurity>
  <Lines>254</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GLORIA INES CELY LUNA</cp:lastModifiedBy>
  <cp:revision>2</cp:revision>
  <dcterms:created xsi:type="dcterms:W3CDTF">2025-02-10T14:52:00Z</dcterms:created>
  <dcterms:modified xsi:type="dcterms:W3CDTF">2025-02-10T14:52:00Z</dcterms:modified>
</cp:coreProperties>
</file>